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7FF844B8" w14:paraId="18DB9D42" w14:textId="77777777" w:rsidTr="7FF844B8">
        <w:trPr>
          <w:trHeight w:val="300"/>
        </w:trPr>
        <w:tc>
          <w:tcPr>
            <w:tcW w:w="9212" w:type="dxa"/>
          </w:tcPr>
          <w:p w14:paraId="3C44CC76" w14:textId="547EA8E2" w:rsidR="7FF844B8" w:rsidRDefault="7FF844B8" w:rsidP="7FF844B8">
            <w:pPr>
              <w:rPr>
                <w:rFonts w:ascii="Arial Narrow" w:hAnsi="Arial Narrow"/>
                <w:b/>
                <w:bCs/>
                <w:sz w:val="22"/>
                <w:szCs w:val="22"/>
              </w:rPr>
            </w:pP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155CB1AA" w:rsidR="008E6675" w:rsidRPr="000E52E9" w:rsidRDefault="00C707FF" w:rsidP="005638EB">
            <w:pPr>
              <w:rPr>
                <w:rFonts w:ascii="Arial Narrow" w:hAnsi="Arial Narrow"/>
                <w:sz w:val="22"/>
              </w:rPr>
            </w:pPr>
            <w:r w:rsidRPr="000E52E9">
              <w:rPr>
                <w:rFonts w:ascii="Arial Narrow" w:hAnsi="Arial Narrow"/>
                <w:sz w:val="22"/>
              </w:rPr>
              <w:t>Pathogeninaktivierung von Erythrozytenkonzentraten</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6BF99126" w:rsidR="008E6675" w:rsidRPr="000E52E9" w:rsidRDefault="00505EF4" w:rsidP="005638EB">
            <w:pPr>
              <w:rPr>
                <w:rFonts w:ascii="Arial Narrow" w:hAnsi="Arial Narrow"/>
                <w:highlight w:val="yellow"/>
              </w:rPr>
            </w:pPr>
            <w:r w:rsidRPr="00505EF4">
              <w:rPr>
                <w:rFonts w:ascii="Arial Narrow" w:hAnsi="Arial Narrow"/>
                <w:sz w:val="22"/>
              </w:rPr>
              <w:t>INTERCEPT</w:t>
            </w:r>
            <w:r w:rsidR="009331AD">
              <w:rPr>
                <w:rFonts w:ascii="Arial Narrow" w:hAnsi="Arial Narrow"/>
                <w:sz w:val="22"/>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378C48FB" w:rsidR="004C4F82" w:rsidRPr="000E52E9" w:rsidRDefault="008B7669" w:rsidP="008B7669">
            <w:pPr>
              <w:rPr>
                <w:rFonts w:ascii="Arial Narrow" w:hAnsi="Arial Narrow"/>
                <w:sz w:val="22"/>
              </w:rPr>
            </w:pPr>
            <w:r w:rsidRPr="008B7669">
              <w:rPr>
                <w:rFonts w:ascii="Arial Narrow" w:hAnsi="Arial Narrow"/>
                <w:sz w:val="22"/>
              </w:rPr>
              <w:t>[</w:t>
            </w:r>
            <w:r w:rsidR="00E03CF2">
              <w:rPr>
                <w:rFonts w:ascii="Arial Narrow" w:hAnsi="Arial Narrow"/>
                <w:sz w:val="22"/>
                <w:highlight w:val="yellow"/>
              </w:rPr>
              <w:t>nein</w:t>
            </w:r>
            <w:r w:rsidRPr="0036178C">
              <w:rPr>
                <w:rFonts w:ascii="Arial Narrow" w:hAnsi="Arial Narrow"/>
                <w:sz w:val="22"/>
                <w:highlight w:val="yellow"/>
              </w:rPr>
              <w:t xml:space="preserve">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15BFCC36"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AA511B">
              <w:rPr>
                <w:rFonts w:ascii="Arial Narrow" w:hAnsi="Arial Narrow"/>
                <w:b/>
                <w:sz w:val="22"/>
              </w:rPr>
              <w:t>4</w:t>
            </w:r>
            <w:r w:rsidR="00DC6CBD">
              <w:rPr>
                <w:rFonts w:ascii="Arial Narrow" w:hAnsi="Arial Narrow"/>
                <w:b/>
                <w:sz w:val="22"/>
              </w:rPr>
              <w:t xml:space="preserve"> eine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117476DC" w:rsidR="00492AB4" w:rsidRPr="00BA41E8" w:rsidRDefault="00DB14F4" w:rsidP="00DB14F4">
            <w:pPr>
              <w:rPr>
                <w:rFonts w:ascii="Arial Narrow" w:hAnsi="Arial Narrow"/>
                <w:highlight w:val="yellow"/>
              </w:rPr>
            </w:pPr>
            <w:r w:rsidRPr="00BA41E8">
              <w:rPr>
                <w:rFonts w:ascii="Arial Narrow" w:hAnsi="Arial Narrow"/>
                <w:sz w:val="22"/>
                <w:highlight w:val="yellow"/>
              </w:rPr>
              <w:t>[</w:t>
            </w:r>
            <w:r w:rsidR="001A2DF0" w:rsidRPr="00BA41E8">
              <w:rPr>
                <w:rFonts w:ascii="Arial Narrow" w:hAnsi="Arial Narrow"/>
                <w:sz w:val="22"/>
                <w:highlight w:val="yellow"/>
              </w:rPr>
              <w:t xml:space="preserve">Nein ankreuzen, da </w:t>
            </w:r>
            <w:r w:rsidR="00812C65">
              <w:rPr>
                <w:rFonts w:ascii="Arial Narrow" w:hAnsi="Arial Narrow"/>
                <w:sz w:val="22"/>
                <w:highlight w:val="yellow"/>
              </w:rPr>
              <w:t>Methode</w:t>
            </w:r>
            <w:r w:rsidR="001A2DF0" w:rsidRPr="00BA41E8">
              <w:rPr>
                <w:rFonts w:ascii="Arial Narrow" w:hAnsi="Arial Narrow"/>
                <w:sz w:val="22"/>
                <w:highlight w:val="yellow"/>
              </w:rPr>
              <w:t xml:space="preserve"> bisher noch nicht beim InEK angefragt wurde</w:t>
            </w:r>
            <w:r w:rsidRPr="00BA41E8">
              <w:rPr>
                <w:rFonts w:ascii="Arial Narrow" w:hAnsi="Arial Narrow"/>
                <w:sz w:val="22"/>
                <w:highlight w:val="yellow"/>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rsidTr="006C1125">
        <w:tc>
          <w:tcPr>
            <w:tcW w:w="9212" w:type="dxa"/>
            <w:shd w:val="clear" w:color="auto" w:fill="auto"/>
          </w:tcPr>
          <w:p w14:paraId="5683D4CA" w14:textId="51E4E77C" w:rsidR="00CA421D" w:rsidRPr="006C1125" w:rsidRDefault="00CA421D" w:rsidP="0078272D">
            <w:pPr>
              <w:rPr>
                <w:rFonts w:ascii="Arial Narrow" w:hAnsi="Arial Narrow"/>
                <w:sz w:val="22"/>
                <w:u w:val="single"/>
              </w:rPr>
            </w:pPr>
            <w:r w:rsidRPr="006C1125">
              <w:rPr>
                <w:rFonts w:ascii="Arial Narrow" w:hAnsi="Arial Narrow"/>
                <w:sz w:val="22"/>
                <w:u w:val="single"/>
              </w:rPr>
              <w:t>Wirkweise:</w:t>
            </w:r>
          </w:p>
          <w:p w14:paraId="4831543E" w14:textId="60424023" w:rsidR="00DB14F4" w:rsidRDefault="00B31601" w:rsidP="0078272D">
            <w:pPr>
              <w:rPr>
                <w:rFonts w:ascii="Arial Narrow" w:hAnsi="Arial Narrow"/>
                <w:sz w:val="22"/>
              </w:rPr>
            </w:pPr>
            <w:r w:rsidRPr="006C1125">
              <w:rPr>
                <w:rFonts w:ascii="Arial Narrow" w:hAnsi="Arial Narrow"/>
                <w:sz w:val="22"/>
              </w:rPr>
              <w:t>Das INTERCEPT</w:t>
            </w:r>
            <w:r w:rsidR="009331AD">
              <w:rPr>
                <w:rFonts w:ascii="Arial Narrow" w:hAnsi="Arial Narrow"/>
                <w:sz w:val="22"/>
              </w:rPr>
              <w:t>™</w:t>
            </w:r>
            <w:r w:rsidRPr="006C1125">
              <w:rPr>
                <w:rFonts w:ascii="Arial Narrow" w:hAnsi="Arial Narrow"/>
                <w:sz w:val="22"/>
              </w:rPr>
              <w:t xml:space="preserve"> Blood System für Erythrozyten ist ein ex-vivo-Verarbeitungssystem zur Behandlung von Erythrozyten mit dem Ziel, das Übertragungsrisiko von Krankheitserregern durch Erythrozytenpräparate zu verringern</w:t>
            </w:r>
            <w:r w:rsidR="00FC2FC7" w:rsidRPr="006C1125">
              <w:rPr>
                <w:rFonts w:ascii="Arial Narrow" w:hAnsi="Arial Narrow"/>
                <w:sz w:val="22"/>
              </w:rPr>
              <w:t xml:space="preserve"> und somit die Blutsicher</w:t>
            </w:r>
            <w:r w:rsidR="00D97905" w:rsidRPr="006C1125">
              <w:rPr>
                <w:rFonts w:ascii="Arial Narrow" w:hAnsi="Arial Narrow"/>
                <w:sz w:val="22"/>
              </w:rPr>
              <w:t>heit zu erhöhen</w:t>
            </w:r>
            <w:r w:rsidRPr="006C1125">
              <w:rPr>
                <w:rFonts w:ascii="Arial Narrow" w:hAnsi="Arial Narrow"/>
                <w:sz w:val="22"/>
              </w:rPr>
              <w:t>.</w:t>
            </w:r>
            <w:r w:rsidR="00246799" w:rsidRPr="006C1125">
              <w:rPr>
                <w:rFonts w:ascii="Arial Narrow" w:hAnsi="Arial Narrow"/>
                <w:sz w:val="22"/>
              </w:rPr>
              <w:t xml:space="preserve"> Ebenso werden Leukozyten inaktiviert.</w:t>
            </w:r>
            <w:r w:rsidRPr="006C1125">
              <w:rPr>
                <w:rFonts w:ascii="Arial Narrow" w:hAnsi="Arial Narrow"/>
                <w:sz w:val="22"/>
              </w:rPr>
              <w:t xml:space="preserve"> </w:t>
            </w:r>
            <w:r w:rsidR="0081362D" w:rsidRPr="006C1125">
              <w:rPr>
                <w:rFonts w:ascii="Arial Narrow" w:hAnsi="Arial Narrow"/>
                <w:sz w:val="22"/>
              </w:rPr>
              <w:t xml:space="preserve">Das System verwendet zur </w:t>
            </w:r>
            <w:r w:rsidR="004F39EE" w:rsidRPr="006C1125">
              <w:rPr>
                <w:rFonts w:ascii="Arial Narrow" w:hAnsi="Arial Narrow"/>
                <w:sz w:val="22"/>
              </w:rPr>
              <w:t xml:space="preserve">Blockierung </w:t>
            </w:r>
            <w:r w:rsidR="006752D6" w:rsidRPr="006C1125">
              <w:rPr>
                <w:rFonts w:ascii="Arial Narrow" w:hAnsi="Arial Narrow"/>
                <w:sz w:val="22"/>
              </w:rPr>
              <w:t xml:space="preserve">der DNA-Replikation und RNA-Transkription bei Erythrozyten die </w:t>
            </w:r>
            <w:r w:rsidR="000461D1" w:rsidRPr="006C1125">
              <w:rPr>
                <w:rFonts w:ascii="Arial Narrow" w:hAnsi="Arial Narrow"/>
                <w:sz w:val="22"/>
              </w:rPr>
              <w:t>proprietäre Substan</w:t>
            </w:r>
            <w:r w:rsidR="008D3B5D" w:rsidRPr="006C1125">
              <w:rPr>
                <w:rFonts w:ascii="Arial Narrow" w:hAnsi="Arial Narrow"/>
                <w:sz w:val="22"/>
              </w:rPr>
              <w:t>z</w:t>
            </w:r>
            <w:r w:rsidR="00FB7D1B" w:rsidRPr="006C1125">
              <w:rPr>
                <w:rFonts w:ascii="Arial Narrow" w:hAnsi="Arial Narrow"/>
                <w:sz w:val="22"/>
              </w:rPr>
              <w:t xml:space="preserve"> Amustalin (S-303)</w:t>
            </w:r>
            <w:r w:rsidR="00436098" w:rsidRPr="006C1125">
              <w:rPr>
                <w:rFonts w:ascii="Arial Narrow" w:hAnsi="Arial Narrow"/>
                <w:sz w:val="22"/>
              </w:rPr>
              <w:t xml:space="preserve"> </w:t>
            </w:r>
            <w:r w:rsidR="003337F3" w:rsidRPr="006C1125">
              <w:rPr>
                <w:rFonts w:ascii="Arial Narrow" w:hAnsi="Arial Narrow"/>
                <w:sz w:val="22"/>
              </w:rPr>
              <w:t>in Verbindung mit Glutathion (GSH)</w:t>
            </w:r>
            <w:r w:rsidR="005477F9" w:rsidRPr="006C1125">
              <w:rPr>
                <w:rFonts w:ascii="Arial Narrow" w:hAnsi="Arial Narrow"/>
                <w:sz w:val="22"/>
              </w:rPr>
              <w:t xml:space="preserve"> inn</w:t>
            </w:r>
            <w:r w:rsidR="00DE3137" w:rsidRPr="006C1125">
              <w:rPr>
                <w:rFonts w:ascii="Arial Narrow" w:hAnsi="Arial Narrow"/>
                <w:sz w:val="22"/>
              </w:rPr>
              <w:t>erhalb eines neutralen pH-Bereichs</w:t>
            </w:r>
            <w:r w:rsidR="00FB7D1B" w:rsidRPr="006C1125">
              <w:rPr>
                <w:rFonts w:ascii="Arial Narrow" w:hAnsi="Arial Narrow"/>
                <w:sz w:val="22"/>
              </w:rPr>
              <w:t xml:space="preserve">. </w:t>
            </w:r>
            <w:r w:rsidR="00DE3137" w:rsidRPr="006C1125">
              <w:rPr>
                <w:rFonts w:ascii="Arial Narrow" w:hAnsi="Arial Narrow"/>
                <w:sz w:val="22"/>
              </w:rPr>
              <w:t xml:space="preserve">Die </w:t>
            </w:r>
            <w:r w:rsidR="00D41838" w:rsidRPr="006C1125">
              <w:rPr>
                <w:rFonts w:ascii="Arial Narrow" w:hAnsi="Arial Narrow"/>
                <w:sz w:val="22"/>
              </w:rPr>
              <w:t>Verbindung</w:t>
            </w:r>
            <w:r w:rsidR="00DE3137" w:rsidRPr="006C1125">
              <w:rPr>
                <w:rFonts w:ascii="Arial Narrow" w:hAnsi="Arial Narrow"/>
                <w:sz w:val="22"/>
              </w:rPr>
              <w:t xml:space="preserve"> aus</w:t>
            </w:r>
            <w:r w:rsidR="00D41838" w:rsidRPr="006C1125">
              <w:rPr>
                <w:rFonts w:ascii="Arial Narrow" w:hAnsi="Arial Narrow"/>
                <w:sz w:val="22"/>
              </w:rPr>
              <w:t xml:space="preserve"> Erythrozyten </w:t>
            </w:r>
            <w:r w:rsidR="00DC4949" w:rsidRPr="006C1125">
              <w:rPr>
                <w:rFonts w:ascii="Arial Narrow" w:hAnsi="Arial Narrow"/>
                <w:sz w:val="22"/>
              </w:rPr>
              <w:t>und</w:t>
            </w:r>
            <w:r w:rsidR="00D41838" w:rsidRPr="006C1125">
              <w:rPr>
                <w:rFonts w:ascii="Arial Narrow" w:hAnsi="Arial Narrow"/>
                <w:sz w:val="22"/>
              </w:rPr>
              <w:t xml:space="preserve"> Amustalin</w:t>
            </w:r>
            <w:r w:rsidR="00F3597F" w:rsidRPr="006C1125">
              <w:rPr>
                <w:rFonts w:ascii="Arial Narrow" w:hAnsi="Arial Narrow"/>
                <w:sz w:val="22"/>
              </w:rPr>
              <w:t xml:space="preserve"> </w:t>
            </w:r>
            <w:r w:rsidR="00DA4AA6" w:rsidRPr="006C1125">
              <w:rPr>
                <w:rFonts w:ascii="Arial Narrow" w:hAnsi="Arial Narrow"/>
                <w:sz w:val="22"/>
              </w:rPr>
              <w:t>kann</w:t>
            </w:r>
            <w:r w:rsidR="00E70425" w:rsidRPr="006C1125">
              <w:rPr>
                <w:rFonts w:ascii="Arial Narrow" w:hAnsi="Arial Narrow"/>
                <w:sz w:val="22"/>
              </w:rPr>
              <w:t xml:space="preserve"> dank ihrer amphipathischen Beschaffenheit</w:t>
            </w:r>
            <w:r w:rsidR="00DA4AA6" w:rsidRPr="006C1125">
              <w:rPr>
                <w:rFonts w:ascii="Arial Narrow" w:hAnsi="Arial Narrow"/>
                <w:sz w:val="22"/>
              </w:rPr>
              <w:t xml:space="preserve"> Membranen </w:t>
            </w:r>
            <w:r w:rsidR="00BF220A" w:rsidRPr="006C1125">
              <w:rPr>
                <w:rFonts w:ascii="Arial Narrow" w:hAnsi="Arial Narrow"/>
                <w:sz w:val="22"/>
              </w:rPr>
              <w:t xml:space="preserve">von Zellen und Virushüllen durchdringen und so in helikalen Bereichen der Nukleinsäuren </w:t>
            </w:r>
            <w:r w:rsidR="00A74187" w:rsidRPr="006C1125">
              <w:rPr>
                <w:rFonts w:ascii="Arial Narrow" w:hAnsi="Arial Narrow"/>
                <w:sz w:val="22"/>
              </w:rPr>
              <w:t xml:space="preserve">von Pathogenen und Leukozyten interkalieren. </w:t>
            </w:r>
            <w:r w:rsidR="00730D1C" w:rsidRPr="006C1125">
              <w:rPr>
                <w:rFonts w:ascii="Arial Narrow" w:hAnsi="Arial Narrow"/>
                <w:sz w:val="22"/>
              </w:rPr>
              <w:t>Die Erythrozyten werden unmittelbar in ihrer Funktion nicht beeinflusst.</w:t>
            </w:r>
            <w:r w:rsidR="00730D1C" w:rsidRPr="000E52E9">
              <w:rPr>
                <w:rFonts w:ascii="Arial Narrow" w:hAnsi="Arial Narrow"/>
                <w:sz w:val="22"/>
              </w:rPr>
              <w:t xml:space="preserve"> </w:t>
            </w:r>
          </w:p>
          <w:p w14:paraId="0430C773" w14:textId="77777777" w:rsidR="00857369" w:rsidRDefault="00857369" w:rsidP="0078272D">
            <w:pPr>
              <w:rPr>
                <w:rFonts w:ascii="Arial Narrow" w:hAnsi="Arial Narrow"/>
                <w:sz w:val="22"/>
              </w:rPr>
            </w:pPr>
          </w:p>
          <w:p w14:paraId="027C07AE" w14:textId="439E7734" w:rsidR="00385CBC" w:rsidRPr="006C1125" w:rsidRDefault="00857369" w:rsidP="00B43E8C">
            <w:pPr>
              <w:rPr>
                <w:rFonts w:ascii="Arial Narrow" w:hAnsi="Arial Narrow"/>
                <w:sz w:val="22"/>
              </w:rPr>
            </w:pPr>
            <w:r w:rsidRPr="002F1FCE">
              <w:rPr>
                <w:rFonts w:ascii="Arial Narrow" w:hAnsi="Arial Narrow"/>
                <w:sz w:val="22"/>
                <w:u w:val="single"/>
              </w:rPr>
              <w:t>Evidenzlage</w:t>
            </w:r>
            <w:r>
              <w:rPr>
                <w:rFonts w:ascii="Arial Narrow" w:hAnsi="Arial Narrow"/>
                <w:sz w:val="22"/>
              </w:rPr>
              <w:t>:</w:t>
            </w:r>
          </w:p>
          <w:p w14:paraId="75AD9188" w14:textId="1D4740A8" w:rsidR="00385CBC" w:rsidRPr="006C1125" w:rsidRDefault="00385CBC" w:rsidP="00B43E8C">
            <w:pPr>
              <w:rPr>
                <w:rFonts w:ascii="Arial Narrow" w:hAnsi="Arial Narrow"/>
                <w:sz w:val="22"/>
              </w:rPr>
            </w:pPr>
            <w:r w:rsidRPr="006C1125">
              <w:rPr>
                <w:rFonts w:ascii="Arial Narrow" w:hAnsi="Arial Narrow"/>
                <w:sz w:val="22"/>
              </w:rPr>
              <w:t xml:space="preserve">In einer </w:t>
            </w:r>
            <w:r w:rsidR="00294522" w:rsidRPr="006C1125">
              <w:rPr>
                <w:rFonts w:ascii="Arial Narrow" w:hAnsi="Arial Narrow"/>
                <w:sz w:val="22"/>
              </w:rPr>
              <w:t>randomisierten, kontrollierten Studie wurde die</w:t>
            </w:r>
            <w:r w:rsidR="00803128" w:rsidRPr="006C1125">
              <w:rPr>
                <w:rFonts w:ascii="Arial Narrow" w:hAnsi="Arial Narrow"/>
                <w:sz w:val="22"/>
              </w:rPr>
              <w:t xml:space="preserve"> Wirksamkeit und Sicherheit von Erythrozytenkonzentraten</w:t>
            </w:r>
            <w:r w:rsidR="00437B25" w:rsidRPr="006C1125">
              <w:rPr>
                <w:rFonts w:ascii="Arial Narrow" w:hAnsi="Arial Narrow"/>
                <w:sz w:val="22"/>
              </w:rPr>
              <w:t xml:space="preserve"> (RBCs)</w:t>
            </w:r>
            <w:r w:rsidR="00803128" w:rsidRPr="006C1125">
              <w:rPr>
                <w:rFonts w:ascii="Arial Narrow" w:hAnsi="Arial Narrow"/>
                <w:sz w:val="22"/>
              </w:rPr>
              <w:t>, die mit Amustalin (S-303) und Glutathion (GSH) behandelt wurden, um das Risiko transfusionsbedingter Infektionskrankheiten und graft-versus-host-Erkrankungen zu reduzieren</w:t>
            </w:r>
            <w:r w:rsidR="00437B25" w:rsidRPr="006C1125">
              <w:rPr>
                <w:rFonts w:ascii="Arial Narrow" w:hAnsi="Arial Narrow"/>
                <w:sz w:val="22"/>
              </w:rPr>
              <w:t xml:space="preserve">, untersucht. </w:t>
            </w:r>
            <w:r w:rsidR="000F4D3D" w:rsidRPr="006C1125">
              <w:rPr>
                <w:rFonts w:ascii="Arial Narrow" w:hAnsi="Arial Narrow"/>
                <w:sz w:val="22"/>
              </w:rPr>
              <w:t>Die in vitro-Eigenschaften von Amustalin-behandelten RBCs (Testgruppe) mit herkömmlichen RBCs (Kontrollgruppe) und die Beurteilung der Sicherheit und Wirksamkeit</w:t>
            </w:r>
            <w:r w:rsidR="00657DAC" w:rsidRPr="006C1125">
              <w:rPr>
                <w:rFonts w:ascii="Arial Narrow" w:hAnsi="Arial Narrow"/>
                <w:sz w:val="22"/>
              </w:rPr>
              <w:t xml:space="preserve"> wurden</w:t>
            </w:r>
            <w:r w:rsidR="000F4D3D" w:rsidRPr="006C1125">
              <w:rPr>
                <w:rFonts w:ascii="Arial Narrow" w:hAnsi="Arial Narrow"/>
                <w:sz w:val="22"/>
              </w:rPr>
              <w:t xml:space="preserve"> bei Patienten während und nach einer Herzoperation</w:t>
            </w:r>
            <w:r w:rsidR="00657DAC" w:rsidRPr="006C1125">
              <w:rPr>
                <w:rFonts w:ascii="Arial Narrow" w:hAnsi="Arial Narrow"/>
                <w:sz w:val="22"/>
              </w:rPr>
              <w:t xml:space="preserve"> verglichen. Die </w:t>
            </w:r>
            <w:r w:rsidR="00AD000B" w:rsidRPr="006C1125">
              <w:rPr>
                <w:rFonts w:ascii="Arial Narrow" w:hAnsi="Arial Narrow"/>
                <w:sz w:val="22"/>
              </w:rPr>
              <w:t>Amustalin-behandelten RBCs zeigten einen geringfügig niedrigeren Hb-Gehalt, lagen aber innerhalb der vorgegebenen Äquivalenzgrenzen, was eine vergleichbare Wirksamkeit zur Kontrollgruppe bestätigt.</w:t>
            </w:r>
            <w:r w:rsidR="00FF73CB" w:rsidRPr="006C1125">
              <w:rPr>
                <w:rFonts w:ascii="Arial Narrow" w:hAnsi="Arial Narrow"/>
                <w:sz w:val="22"/>
              </w:rPr>
              <w:t xml:space="preserve"> </w:t>
            </w:r>
            <w:r w:rsidR="000F3386" w:rsidRPr="006C1125">
              <w:rPr>
                <w:rFonts w:ascii="Arial Narrow" w:hAnsi="Arial Narrow"/>
                <w:sz w:val="22"/>
              </w:rPr>
              <w:t xml:space="preserve">Es wurde keine spezifische Immunreaktion auf pathogeninaktivierte RBCs beobachtet. </w:t>
            </w:r>
            <w:r w:rsidR="00FF73CB" w:rsidRPr="006C1125">
              <w:rPr>
                <w:rFonts w:ascii="Arial Narrow" w:hAnsi="Arial Narrow"/>
                <w:sz w:val="22"/>
              </w:rPr>
              <w:t>Die behandelten RBCs erfüllten die europäischen Richtlinien für Hämoglobingehalt, Hämatokrit und Hämolyse</w:t>
            </w:r>
            <w:r w:rsidR="004573DD" w:rsidRPr="006C1125">
              <w:rPr>
                <w:rFonts w:ascii="Arial Narrow" w:hAnsi="Arial Narrow"/>
                <w:sz w:val="22"/>
              </w:rPr>
              <w:t>.</w:t>
            </w:r>
          </w:p>
          <w:p w14:paraId="6F0BE49E" w14:textId="0905134D" w:rsidR="00657DAC" w:rsidRPr="006C1125" w:rsidRDefault="00657DAC" w:rsidP="00B43E8C">
            <w:pPr>
              <w:rPr>
                <w:rFonts w:ascii="Arial Narrow" w:hAnsi="Arial Narrow"/>
                <w:sz w:val="22"/>
              </w:rPr>
            </w:pPr>
            <w:r w:rsidRPr="006C1125">
              <w:rPr>
                <w:rFonts w:ascii="Arial Narrow" w:hAnsi="Arial Narrow"/>
                <w:sz w:val="22"/>
                <w:lang w:val="en-GB"/>
              </w:rPr>
              <w:t xml:space="preserve">(Brixner et al. </w:t>
            </w:r>
            <w:proofErr w:type="gramStart"/>
            <w:r w:rsidR="00C87DDB" w:rsidRPr="006C1125">
              <w:rPr>
                <w:rFonts w:ascii="Arial Narrow" w:hAnsi="Arial Narrow"/>
                <w:sz w:val="22"/>
                <w:lang w:val="en-GB"/>
              </w:rPr>
              <w:t>Red</w:t>
            </w:r>
            <w:proofErr w:type="gramEnd"/>
            <w:r w:rsidR="00C87DDB" w:rsidRPr="006C1125">
              <w:rPr>
                <w:rFonts w:ascii="Arial Narrow" w:hAnsi="Arial Narrow"/>
                <w:sz w:val="22"/>
                <w:lang w:val="en-GB"/>
              </w:rPr>
              <w:t xml:space="preserve"> blood cells treated with the amustaline (S-303) pathogen reduction system: a transfusion study in cardiac surgery. </w:t>
            </w:r>
            <w:r w:rsidR="00C87DDB" w:rsidRPr="006C1125">
              <w:rPr>
                <w:rFonts w:ascii="Arial Narrow" w:hAnsi="Arial Narrow"/>
                <w:sz w:val="22"/>
              </w:rPr>
              <w:t>Transfusion. 2018 Apr;58(4):905-916. doi: 10.1111/trf.14528.</w:t>
            </w:r>
            <w:r w:rsidR="006C1125" w:rsidRPr="006C1125">
              <w:rPr>
                <w:rFonts w:ascii="Arial Narrow" w:hAnsi="Arial Narrow"/>
                <w:sz w:val="22"/>
              </w:rPr>
              <w:t>)</w:t>
            </w:r>
          </w:p>
          <w:p w14:paraId="7AE046B2" w14:textId="77777777" w:rsidR="006C1125" w:rsidRPr="002F1FCE" w:rsidRDefault="006C1125" w:rsidP="00B43E8C">
            <w:pPr>
              <w:rPr>
                <w:rFonts w:ascii="Arial Narrow" w:hAnsi="Arial Narrow"/>
                <w:sz w:val="22"/>
              </w:rPr>
            </w:pPr>
          </w:p>
          <w:p w14:paraId="2ACEB6FB" w14:textId="31D93AB2" w:rsidR="00B43E8C" w:rsidRPr="006C1125" w:rsidRDefault="008E2CB8" w:rsidP="00B43E8C">
            <w:pPr>
              <w:rPr>
                <w:rFonts w:ascii="Arial Narrow" w:hAnsi="Arial Narrow"/>
                <w:sz w:val="22"/>
              </w:rPr>
            </w:pPr>
            <w:r w:rsidRPr="006C1125">
              <w:rPr>
                <w:rFonts w:ascii="Arial Narrow" w:hAnsi="Arial Narrow"/>
                <w:sz w:val="22"/>
              </w:rPr>
              <w:t>In einer</w:t>
            </w:r>
            <w:r w:rsidR="00F93DCB" w:rsidRPr="006C1125">
              <w:rPr>
                <w:rFonts w:ascii="Arial Narrow" w:hAnsi="Arial Narrow"/>
                <w:sz w:val="22"/>
              </w:rPr>
              <w:t xml:space="preserve"> </w:t>
            </w:r>
            <w:r w:rsidR="00015F56" w:rsidRPr="006C1125">
              <w:rPr>
                <w:rFonts w:ascii="Arial Narrow" w:hAnsi="Arial Narrow"/>
                <w:sz w:val="22"/>
              </w:rPr>
              <w:t>randomisierten kontrollierten Cro</w:t>
            </w:r>
            <w:r w:rsidR="005238C3" w:rsidRPr="006C1125">
              <w:rPr>
                <w:rFonts w:ascii="Arial Narrow" w:hAnsi="Arial Narrow"/>
                <w:sz w:val="22"/>
              </w:rPr>
              <w:t>ssover-Studie</w:t>
            </w:r>
            <w:r w:rsidR="000632E5" w:rsidRPr="006C1125">
              <w:rPr>
                <w:rFonts w:ascii="Arial Narrow" w:hAnsi="Arial Narrow"/>
                <w:sz w:val="22"/>
              </w:rPr>
              <w:t xml:space="preserve"> wurde die Lebensfähigkeit von Erythrozyten</w:t>
            </w:r>
            <w:r w:rsidR="0028624B" w:rsidRPr="006C1125">
              <w:rPr>
                <w:rFonts w:ascii="Arial Narrow" w:hAnsi="Arial Narrow"/>
                <w:sz w:val="22"/>
              </w:rPr>
              <w:t xml:space="preserve"> untersucht</w:t>
            </w:r>
            <w:r w:rsidR="000632E5" w:rsidRPr="006C1125">
              <w:rPr>
                <w:rFonts w:ascii="Arial Narrow" w:hAnsi="Arial Narrow"/>
                <w:sz w:val="22"/>
              </w:rPr>
              <w:t>, die mit einem S-303</w:t>
            </w:r>
            <w:r w:rsidR="00103B98" w:rsidRPr="006C1125">
              <w:rPr>
                <w:rFonts w:ascii="Arial Narrow" w:hAnsi="Arial Narrow"/>
                <w:sz w:val="22"/>
              </w:rPr>
              <w:t>-Verfahren der zweiten Generation</w:t>
            </w:r>
            <w:r w:rsidR="005E29E0" w:rsidRPr="006C1125">
              <w:rPr>
                <w:rFonts w:ascii="Arial Narrow" w:hAnsi="Arial Narrow"/>
                <w:sz w:val="22"/>
              </w:rPr>
              <w:t xml:space="preserve"> behandelt </w:t>
            </w:r>
            <w:r w:rsidR="0028624B" w:rsidRPr="006C1125">
              <w:rPr>
                <w:rFonts w:ascii="Arial Narrow" w:hAnsi="Arial Narrow"/>
                <w:sz w:val="22"/>
              </w:rPr>
              <w:t xml:space="preserve">und 35 Tage gelagert </w:t>
            </w:r>
            <w:r w:rsidR="005E29E0" w:rsidRPr="006C1125">
              <w:rPr>
                <w:rFonts w:ascii="Arial Narrow" w:hAnsi="Arial Narrow"/>
                <w:sz w:val="22"/>
              </w:rPr>
              <w:t>wurden</w:t>
            </w:r>
            <w:r w:rsidR="0028624B" w:rsidRPr="006C1125">
              <w:rPr>
                <w:rFonts w:ascii="Arial Narrow" w:hAnsi="Arial Narrow"/>
                <w:sz w:val="22"/>
              </w:rPr>
              <w:t>.</w:t>
            </w:r>
            <w:r w:rsidR="00B43E8C" w:rsidRPr="006C1125">
              <w:rPr>
                <w:rFonts w:ascii="Arial Narrow" w:hAnsi="Arial Narrow"/>
                <w:sz w:val="22"/>
              </w:rPr>
              <w:t xml:space="preserve"> Erythrozyten, die mit dem S-303 Pathogeninaktivierungsverfahren hergestellt wurden, waren physiologisch und</w:t>
            </w:r>
          </w:p>
          <w:p w14:paraId="7B7BA713" w14:textId="50CB0F54" w:rsidR="00B43E8C" w:rsidRPr="006C1125" w:rsidRDefault="00B43E8C" w:rsidP="00B43E8C">
            <w:pPr>
              <w:rPr>
                <w:rFonts w:ascii="Arial Narrow" w:hAnsi="Arial Narrow"/>
                <w:sz w:val="22"/>
              </w:rPr>
            </w:pPr>
            <w:r w:rsidRPr="006C1125">
              <w:rPr>
                <w:rFonts w:ascii="Arial Narrow" w:hAnsi="Arial Narrow"/>
                <w:sz w:val="22"/>
              </w:rPr>
              <w:t>metabolisch für die Transfusion nach 35 Tagen Lagerung geeignet</w:t>
            </w:r>
            <w:r w:rsidR="00730009" w:rsidRPr="006C1125">
              <w:rPr>
                <w:rFonts w:ascii="Arial Narrow" w:hAnsi="Arial Narrow"/>
                <w:sz w:val="22"/>
              </w:rPr>
              <w:t>,</w:t>
            </w:r>
            <w:r w:rsidRPr="006C1125">
              <w:rPr>
                <w:rFonts w:ascii="Arial Narrow" w:hAnsi="Arial Narrow"/>
                <w:sz w:val="22"/>
              </w:rPr>
              <w:t xml:space="preserve"> erfüllten die FDA-Kriterien für die 24-stündige</w:t>
            </w:r>
          </w:p>
          <w:p w14:paraId="065573BD" w14:textId="77777777" w:rsidR="00577729" w:rsidRPr="006C1125" w:rsidRDefault="00B43E8C" w:rsidP="00B43E8C">
            <w:pPr>
              <w:rPr>
                <w:rFonts w:ascii="Arial Narrow" w:hAnsi="Arial Narrow"/>
                <w:sz w:val="22"/>
              </w:rPr>
            </w:pPr>
            <w:r w:rsidRPr="006C1125">
              <w:rPr>
                <w:rFonts w:ascii="Arial Narrow" w:hAnsi="Arial Narrow"/>
                <w:sz w:val="22"/>
              </w:rPr>
              <w:t>Wiederherstellung und induzierten keine Antikörperbildung</w:t>
            </w:r>
            <w:r w:rsidR="000E2E60" w:rsidRPr="006C1125">
              <w:rPr>
                <w:rFonts w:ascii="Arial Narrow" w:hAnsi="Arial Narrow"/>
                <w:sz w:val="22"/>
              </w:rPr>
              <w:t xml:space="preserve"> bei den gesunden Probanden (n=27). </w:t>
            </w:r>
          </w:p>
          <w:p w14:paraId="5090F8BF" w14:textId="77777777" w:rsidR="00862B21" w:rsidRPr="002F1FCE" w:rsidRDefault="00862B21" w:rsidP="00B43E8C">
            <w:pPr>
              <w:rPr>
                <w:rFonts w:ascii="Arial Narrow" w:hAnsi="Arial Narrow"/>
                <w:sz w:val="22"/>
              </w:rPr>
            </w:pPr>
            <w:r w:rsidRPr="006C1125">
              <w:rPr>
                <w:rFonts w:ascii="Arial Narrow" w:hAnsi="Arial Narrow"/>
                <w:sz w:val="22"/>
                <w:lang w:val="en-GB"/>
              </w:rPr>
              <w:t>(Cancelas et al.</w:t>
            </w:r>
            <w:r w:rsidR="00166FD8" w:rsidRPr="006C1125">
              <w:rPr>
                <w:rFonts w:ascii="Arial Narrow" w:hAnsi="Arial Narrow"/>
                <w:sz w:val="22"/>
                <w:lang w:val="en-GB"/>
              </w:rPr>
              <w:t xml:space="preserve"> Stored red blood cell viability is maintained after treatment with a second-generation S-303 pathogen inactivation process. </w:t>
            </w:r>
            <w:r w:rsidR="00166FD8" w:rsidRPr="002F1FCE">
              <w:rPr>
                <w:rFonts w:ascii="Arial Narrow" w:hAnsi="Arial Narrow"/>
                <w:sz w:val="22"/>
              </w:rPr>
              <w:t>Transfusion. 2011 Nov;51(11):2367-76. doi: 10.1111/j.1537-2995.2011.03163.x.)</w:t>
            </w:r>
          </w:p>
          <w:p w14:paraId="7506AD36" w14:textId="77777777" w:rsidR="00166FD8" w:rsidRPr="002F1FCE" w:rsidRDefault="00166FD8" w:rsidP="00B43E8C">
            <w:pPr>
              <w:rPr>
                <w:rFonts w:ascii="Arial Narrow" w:hAnsi="Arial Narrow"/>
                <w:sz w:val="22"/>
              </w:rPr>
            </w:pPr>
          </w:p>
          <w:p w14:paraId="0AF79188" w14:textId="1555A157" w:rsidR="00857369" w:rsidRPr="000E52E9" w:rsidRDefault="001009AC" w:rsidP="0078272D">
            <w:pPr>
              <w:rPr>
                <w:rFonts w:ascii="Arial Narrow" w:hAnsi="Arial Narrow"/>
                <w:sz w:val="22"/>
              </w:rPr>
            </w:pPr>
            <w:r w:rsidRPr="006C1125">
              <w:rPr>
                <w:rFonts w:ascii="Arial Narrow" w:hAnsi="Arial Narrow"/>
                <w:sz w:val="22"/>
              </w:rPr>
              <w:lastRenderedPageBreak/>
              <w:t>Larsson et al</w:t>
            </w:r>
            <w:r w:rsidR="00312B1D" w:rsidRPr="006C1125">
              <w:rPr>
                <w:rFonts w:ascii="Arial Narrow" w:hAnsi="Arial Narrow"/>
                <w:sz w:val="22"/>
              </w:rPr>
              <w:t>. (2023) haben untersucht,</w:t>
            </w:r>
            <w:r w:rsidR="00D97905" w:rsidRPr="006C1125">
              <w:rPr>
                <w:rFonts w:ascii="Arial Narrow" w:hAnsi="Arial Narrow"/>
                <w:sz w:val="22"/>
              </w:rPr>
              <w:t xml:space="preserve"> </w:t>
            </w:r>
            <w:r w:rsidR="008125F7" w:rsidRPr="006C1125">
              <w:rPr>
                <w:rFonts w:ascii="Arial Narrow" w:hAnsi="Arial Narrow"/>
                <w:sz w:val="22"/>
              </w:rPr>
              <w:t xml:space="preserve">ob die Pathogeninaktivierung </w:t>
            </w:r>
            <w:r w:rsidR="006A7494" w:rsidRPr="006C1125">
              <w:rPr>
                <w:rFonts w:ascii="Arial Narrow" w:hAnsi="Arial Narrow"/>
                <w:sz w:val="22"/>
              </w:rPr>
              <w:t>von Erythrozytenko</w:t>
            </w:r>
            <w:r w:rsidR="00DA04E2" w:rsidRPr="006C1125">
              <w:rPr>
                <w:rFonts w:ascii="Arial Narrow" w:hAnsi="Arial Narrow"/>
                <w:sz w:val="22"/>
              </w:rPr>
              <w:t xml:space="preserve">zentraten </w:t>
            </w:r>
            <w:r w:rsidR="00D371FF" w:rsidRPr="006C1125">
              <w:rPr>
                <w:rFonts w:ascii="Arial Narrow" w:hAnsi="Arial Narrow"/>
                <w:sz w:val="22"/>
              </w:rPr>
              <w:t>(RBCs)</w:t>
            </w:r>
            <w:r w:rsidR="00F814F2" w:rsidRPr="006C1125">
              <w:rPr>
                <w:rFonts w:ascii="Arial Narrow" w:hAnsi="Arial Narrow"/>
                <w:sz w:val="22"/>
              </w:rPr>
              <w:t xml:space="preserve"> </w:t>
            </w:r>
            <w:r w:rsidR="00DA04E2" w:rsidRPr="006C1125">
              <w:rPr>
                <w:rFonts w:ascii="Arial Narrow" w:hAnsi="Arial Narrow"/>
                <w:sz w:val="22"/>
              </w:rPr>
              <w:t xml:space="preserve">anstelle von Bestrahlung und Waschen </w:t>
            </w:r>
            <w:r w:rsidR="005933A2" w:rsidRPr="006C1125">
              <w:rPr>
                <w:rFonts w:ascii="Arial Narrow" w:hAnsi="Arial Narrow"/>
                <w:sz w:val="22"/>
              </w:rPr>
              <w:t xml:space="preserve">zur Inaktivierung </w:t>
            </w:r>
            <w:r w:rsidR="00DA04E2" w:rsidRPr="006C1125">
              <w:rPr>
                <w:rFonts w:ascii="Arial Narrow" w:hAnsi="Arial Narrow"/>
                <w:sz w:val="22"/>
              </w:rPr>
              <w:t>eingesetzt werden kann, ohne die Haltbarkeit</w:t>
            </w:r>
            <w:r w:rsidR="00D371FF" w:rsidRPr="006C1125">
              <w:rPr>
                <w:rFonts w:ascii="Arial Narrow" w:hAnsi="Arial Narrow"/>
                <w:sz w:val="22"/>
              </w:rPr>
              <w:t xml:space="preserve"> von Blutkonserven zu verkürzen</w:t>
            </w:r>
            <w:r w:rsidR="00AA762A" w:rsidRPr="006C1125">
              <w:rPr>
                <w:rFonts w:ascii="Arial Narrow" w:hAnsi="Arial Narrow"/>
                <w:sz w:val="22"/>
              </w:rPr>
              <w:t xml:space="preserve">. </w:t>
            </w:r>
            <w:r w:rsidR="00F814F2" w:rsidRPr="006C1125">
              <w:rPr>
                <w:rFonts w:ascii="Arial Narrow" w:hAnsi="Arial Narrow"/>
                <w:sz w:val="22"/>
              </w:rPr>
              <w:t>48 RBC-Konzentrate wurden in vier Gruppen aufgeteilt: Pathogeninaktivierung, Bestrahlung, automatisches Waschen und eine Kontrollgruppe ohne Behandlung. Die Qualität der RBCs wurde über 42 Tage anhand verschiedener Parameter untersucht</w:t>
            </w:r>
            <w:r w:rsidR="001274C2" w:rsidRPr="006C1125">
              <w:rPr>
                <w:rFonts w:ascii="Arial Narrow" w:hAnsi="Arial Narrow"/>
                <w:sz w:val="22"/>
              </w:rPr>
              <w:t>.</w:t>
            </w:r>
            <w:r w:rsidR="001274C2" w:rsidRPr="006C1125">
              <w:t xml:space="preserve"> </w:t>
            </w:r>
            <w:r w:rsidR="001274C2" w:rsidRPr="006C1125">
              <w:rPr>
                <w:rFonts w:ascii="Arial Narrow" w:hAnsi="Arial Narrow"/>
                <w:sz w:val="22"/>
              </w:rPr>
              <w:t>RBCs, die pathogenreduziert wurden, zeigten eine ähnliche Membranintegrität wie die unbehandelten RBCs (Kontrollgruppe). Im Gegensatz dazu verschlechterten sich die RBC-Membranen nach Bestrahlung und Waschen</w:t>
            </w:r>
            <w:r w:rsidR="00211A61" w:rsidRPr="006C1125">
              <w:rPr>
                <w:rFonts w:ascii="Arial Narrow" w:hAnsi="Arial Narrow"/>
                <w:sz w:val="22"/>
              </w:rPr>
              <w:t>.</w:t>
            </w:r>
            <w:r w:rsidR="00211A61" w:rsidRPr="006C1125">
              <w:t xml:space="preserve"> </w:t>
            </w:r>
            <w:r w:rsidR="00211A61" w:rsidRPr="006C1125">
              <w:rPr>
                <w:rFonts w:ascii="Arial Narrow" w:hAnsi="Arial Narrow"/>
                <w:sz w:val="22"/>
              </w:rPr>
              <w:t>Die Pathogeninaktivierung führte zu einer besseren Membranbewahrung im Vergleich zu Bestrahlung und Waschen, was darauf hindeutet, dass sie diese Verfahren ersetzen könnte. Die Methode bietet zudem eine Lagerung von bis zu 42 Tagen, was sowohl für die Blutversorgung als auch für die Patientensicherheit vorteilhaft wäre</w:t>
            </w:r>
            <w:r w:rsidR="00BD2F37">
              <w:rPr>
                <w:rFonts w:ascii="Arial Narrow" w:hAnsi="Arial Narrow"/>
                <w:sz w:val="22"/>
              </w:rPr>
              <w:t>.</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252EA0C5" w:rsidR="00CC7E5F" w:rsidRPr="006354B6" w:rsidRDefault="00435583" w:rsidP="00435583">
            <w:pPr>
              <w:rPr>
                <w:rFonts w:ascii="Arial Narrow" w:hAnsi="Arial Narrow"/>
                <w:sz w:val="22"/>
              </w:rPr>
            </w:pPr>
            <w:r w:rsidRPr="000E52E9">
              <w:rPr>
                <w:rFonts w:ascii="Arial Narrow" w:hAnsi="Arial Narrow"/>
                <w:sz w:val="22"/>
              </w:rPr>
              <w:t>[</w:t>
            </w:r>
            <w:bookmarkStart w:id="0" w:name="_Hlk83810295"/>
            <w:r w:rsidR="00BE3979" w:rsidRPr="000E52E9">
              <w:rPr>
                <w:rFonts w:ascii="Arial Narrow" w:hAnsi="Arial Narrow"/>
                <w:sz w:val="22"/>
                <w:highlight w:val="yellow"/>
              </w:rPr>
              <w:t xml:space="preserve">Bitte </w:t>
            </w:r>
            <w:r w:rsidR="004C4F82" w:rsidRPr="000E52E9">
              <w:rPr>
                <w:rFonts w:ascii="Arial Narrow" w:hAnsi="Arial Narrow"/>
                <w:sz w:val="22"/>
                <w:highlight w:val="yellow"/>
              </w:rPr>
              <w:t>ankreuzen</w:t>
            </w:r>
            <w:r w:rsidR="004326E6" w:rsidRPr="000E52E9">
              <w:rPr>
                <w:rFonts w:ascii="Arial Narrow" w:hAnsi="Arial Narrow"/>
                <w:sz w:val="22"/>
              </w:rPr>
              <w:t>]:</w:t>
            </w:r>
            <w:r w:rsidR="0036325A" w:rsidRPr="00BE3979">
              <w:rPr>
                <w:rFonts w:ascii="Arial Narrow" w:hAnsi="Arial Narrow"/>
                <w:sz w:val="22"/>
              </w:rPr>
              <w:t xml:space="preserve"> </w:t>
            </w:r>
            <w:r w:rsidR="00DC6CBD" w:rsidRPr="006354B6">
              <w:rPr>
                <w:rFonts w:ascii="Arial Narrow" w:hAnsi="Arial Narrow"/>
                <w:sz w:val="22"/>
              </w:rPr>
              <w:t>Derzeit sind keine Prozedurencodes (OPS) verfügbar</w:t>
            </w:r>
            <w:bookmarkEnd w:id="0"/>
            <w:r w:rsidR="00BE3979" w:rsidRPr="000E52E9">
              <w:rPr>
                <w:rFonts w:ascii="Arial Narrow" w:hAnsi="Arial Narrow"/>
                <w:sz w:val="22"/>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24A2215B" w:rsidR="004C4F82" w:rsidRPr="00435583" w:rsidRDefault="00E54D62" w:rsidP="00435583">
            <w:pPr>
              <w:rPr>
                <w:rFonts w:ascii="Arial Narrow" w:hAnsi="Arial Narrow"/>
                <w:sz w:val="22"/>
                <w:szCs w:val="22"/>
              </w:rPr>
            </w:pPr>
            <w:r w:rsidRPr="000E52E9">
              <w:rPr>
                <w:rFonts w:ascii="Arial Narrow" w:hAnsi="Arial Narrow"/>
                <w:sz w:val="22"/>
                <w:szCs w:val="22"/>
              </w:rPr>
              <w:t xml:space="preserve">Aktuell steht ein OPS </w:t>
            </w:r>
            <w:r w:rsidR="008D0A45" w:rsidRPr="000E52E9">
              <w:rPr>
                <w:rFonts w:ascii="Arial Narrow" w:hAnsi="Arial Narrow"/>
                <w:sz w:val="22"/>
                <w:szCs w:val="22"/>
              </w:rPr>
              <w:t xml:space="preserve">(8-800.c) </w:t>
            </w:r>
            <w:r w:rsidRPr="000E52E9">
              <w:rPr>
                <w:rFonts w:ascii="Arial Narrow" w:hAnsi="Arial Narrow"/>
                <w:sz w:val="22"/>
                <w:szCs w:val="22"/>
              </w:rPr>
              <w:t>für den Einsatz von Erythrozytenkonzentraten zur Verfü</w:t>
            </w:r>
            <w:r w:rsidR="00761DF5" w:rsidRPr="000E52E9">
              <w:rPr>
                <w:rFonts w:ascii="Arial Narrow" w:hAnsi="Arial Narrow"/>
                <w:sz w:val="22"/>
                <w:szCs w:val="22"/>
              </w:rPr>
              <w:t xml:space="preserve">gung, jedoch fehlt bei diesem die Spezifizierung für pathogeninaktivierte Produkte. </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5D58DDCC" w14:textId="4BC8F2C1" w:rsidR="008E6675" w:rsidRDefault="002B34F9" w:rsidP="00C11458">
            <w:pPr>
              <w:rPr>
                <w:rFonts w:ascii="Arial Narrow" w:hAnsi="Arial Narrow"/>
                <w:sz w:val="22"/>
                <w:szCs w:val="22"/>
              </w:rPr>
            </w:pPr>
            <w:r w:rsidRPr="00246C40">
              <w:rPr>
                <w:rFonts w:ascii="Arial Narrow" w:hAnsi="Arial Narrow"/>
                <w:sz w:val="22"/>
                <w:szCs w:val="22"/>
              </w:rPr>
              <w:t xml:space="preserve">Pathogeninaktivierte </w:t>
            </w:r>
            <w:r w:rsidR="009F6DEE" w:rsidRPr="00246C40">
              <w:rPr>
                <w:rFonts w:ascii="Arial Narrow" w:hAnsi="Arial Narrow"/>
                <w:sz w:val="22"/>
                <w:szCs w:val="22"/>
              </w:rPr>
              <w:t>Erythrozytenkonzentrate</w:t>
            </w:r>
            <w:r w:rsidRPr="00246C40">
              <w:rPr>
                <w:rFonts w:ascii="Arial Narrow" w:hAnsi="Arial Narrow"/>
                <w:sz w:val="22"/>
                <w:szCs w:val="22"/>
              </w:rPr>
              <w:t xml:space="preserve"> ersetzen konventionelle Erythrozytenkonzentrate (EKs) und können bei </w:t>
            </w:r>
            <w:r w:rsidR="00D274F5" w:rsidRPr="00246C40">
              <w:rPr>
                <w:rFonts w:ascii="Arial Narrow" w:hAnsi="Arial Narrow"/>
                <w:sz w:val="22"/>
                <w:szCs w:val="22"/>
              </w:rPr>
              <w:t>Patienten</w:t>
            </w:r>
            <w:r w:rsidR="002020F9">
              <w:rPr>
                <w:rFonts w:ascii="Arial Narrow" w:hAnsi="Arial Narrow"/>
                <w:sz w:val="22"/>
                <w:szCs w:val="22"/>
              </w:rPr>
              <w:t xml:space="preserve"> mit chronischen Anämien oder </w:t>
            </w:r>
            <w:r w:rsidR="00DC0554">
              <w:rPr>
                <w:rFonts w:ascii="Arial Narrow" w:hAnsi="Arial Narrow"/>
                <w:sz w:val="22"/>
                <w:szCs w:val="22"/>
              </w:rPr>
              <w:t xml:space="preserve">bei </w:t>
            </w:r>
            <w:r w:rsidR="002020F9">
              <w:rPr>
                <w:rFonts w:ascii="Arial Narrow" w:hAnsi="Arial Narrow"/>
                <w:sz w:val="22"/>
                <w:szCs w:val="22"/>
              </w:rPr>
              <w:t>starkem Blutverlust</w:t>
            </w:r>
            <w:r w:rsidR="002020F9" w:rsidRPr="00246C40">
              <w:rPr>
                <w:rFonts w:ascii="Arial Narrow" w:hAnsi="Arial Narrow"/>
                <w:sz w:val="22"/>
                <w:szCs w:val="22"/>
              </w:rPr>
              <w:t xml:space="preserve"> angewandt werden</w:t>
            </w:r>
            <w:r w:rsidR="002020F9">
              <w:rPr>
                <w:rFonts w:ascii="Arial Narrow" w:hAnsi="Arial Narrow"/>
                <w:sz w:val="22"/>
                <w:szCs w:val="22"/>
              </w:rPr>
              <w:t>.</w:t>
            </w:r>
          </w:p>
          <w:p w14:paraId="606B75B1" w14:textId="406EDAFA" w:rsidR="007D440B" w:rsidRPr="00246C40" w:rsidRDefault="007D440B" w:rsidP="00C11458">
            <w:pPr>
              <w:rPr>
                <w:rFonts w:ascii="Arial Narrow" w:hAnsi="Arial Narrow"/>
                <w:sz w:val="22"/>
                <w:szCs w:val="22"/>
                <w:highlight w:val="yellow"/>
              </w:rPr>
            </w:pPr>
            <w:r>
              <w:rPr>
                <w:rFonts w:ascii="Arial Narrow" w:hAnsi="Arial Narrow"/>
                <w:sz w:val="22"/>
                <w:szCs w:val="22"/>
              </w:rPr>
              <w:t>Besonders</w:t>
            </w:r>
            <w:r w:rsidR="00EE4054">
              <w:rPr>
                <w:rFonts w:ascii="Arial Narrow" w:hAnsi="Arial Narrow"/>
                <w:sz w:val="22"/>
                <w:szCs w:val="22"/>
              </w:rPr>
              <w:t xml:space="preserve"> </w:t>
            </w:r>
            <w:r w:rsidR="002020F9">
              <w:rPr>
                <w:rFonts w:ascii="Arial Narrow" w:hAnsi="Arial Narrow"/>
                <w:sz w:val="22"/>
                <w:szCs w:val="22"/>
              </w:rPr>
              <w:t>bei immunsupprimierten Patienten</w:t>
            </w:r>
            <w:r>
              <w:rPr>
                <w:rFonts w:ascii="Arial Narrow" w:hAnsi="Arial Narrow"/>
                <w:sz w:val="22"/>
                <w:szCs w:val="22"/>
              </w:rPr>
              <w:t xml:space="preserve"> </w:t>
            </w:r>
            <w:r w:rsidR="00EE4054">
              <w:rPr>
                <w:rFonts w:ascii="Arial Narrow" w:hAnsi="Arial Narrow"/>
                <w:sz w:val="22"/>
                <w:szCs w:val="22"/>
              </w:rPr>
              <w:t xml:space="preserve">werden pathogeninaktivierte Erythrozytenkonzentrate angewandt, um </w:t>
            </w:r>
            <w:r w:rsidR="00C75280">
              <w:rPr>
                <w:rFonts w:ascii="Arial Narrow" w:hAnsi="Arial Narrow"/>
                <w:sz w:val="22"/>
                <w:szCs w:val="22"/>
              </w:rPr>
              <w:t>das Risiko einer transfusionsassoziierten Graft-versus-Host-Reaktion zu senken.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2C3E3E39" w14:textId="16D53A1E" w:rsidR="00FE6D5F" w:rsidRPr="000E52E9" w:rsidRDefault="00FE6D5F" w:rsidP="008C1686">
            <w:pPr>
              <w:rPr>
                <w:rFonts w:ascii="Arial Narrow" w:hAnsi="Arial Narrow"/>
                <w:sz w:val="22"/>
                <w:szCs w:val="22"/>
              </w:rPr>
            </w:pPr>
            <w:r w:rsidRPr="000E52E9">
              <w:rPr>
                <w:rFonts w:ascii="Arial Narrow" w:hAnsi="Arial Narrow"/>
                <w:sz w:val="22"/>
                <w:szCs w:val="22"/>
              </w:rPr>
              <w:t>Herkömmliche Erythrozytenkonzentrate werden um die Methode der Pathogeni</w:t>
            </w:r>
            <w:r w:rsidR="00B81445" w:rsidRPr="000E52E9">
              <w:rPr>
                <w:rFonts w:ascii="Arial Narrow" w:hAnsi="Arial Narrow"/>
                <w:sz w:val="22"/>
                <w:szCs w:val="22"/>
              </w:rPr>
              <w:t xml:space="preserve">naktivierung ergänzt. </w:t>
            </w:r>
          </w:p>
          <w:p w14:paraId="6A785177" w14:textId="77777777" w:rsidR="008E6675" w:rsidRDefault="008E6675" w:rsidP="008C1686">
            <w:pPr>
              <w:rPr>
                <w:rFonts w:ascii="Arial Narrow" w:hAnsi="Arial Narrow"/>
                <w:sz w:val="22"/>
                <w:szCs w:val="22"/>
              </w:rPr>
            </w:pPr>
          </w:p>
          <w:p w14:paraId="3EC3722F" w14:textId="604EC683" w:rsidR="00283085" w:rsidRPr="000E52E9" w:rsidRDefault="00142D49" w:rsidP="008C1686">
            <w:pPr>
              <w:rPr>
                <w:rFonts w:ascii="Arial Narrow" w:hAnsi="Arial Narrow"/>
                <w:sz w:val="22"/>
                <w:szCs w:val="22"/>
              </w:rPr>
            </w:pPr>
            <w:r>
              <w:rPr>
                <w:rFonts w:ascii="Arial Narrow" w:hAnsi="Arial Narrow"/>
                <w:sz w:val="22"/>
                <w:szCs w:val="22"/>
              </w:rPr>
              <w:t xml:space="preserve">Die </w:t>
            </w:r>
            <w:r w:rsidR="00283085">
              <w:rPr>
                <w:rFonts w:ascii="Arial Narrow" w:hAnsi="Arial Narrow"/>
                <w:sz w:val="22"/>
                <w:szCs w:val="22"/>
              </w:rPr>
              <w:t>Gabe von Erythrozytenkonzentrate</w:t>
            </w:r>
            <w:r w:rsidR="00E67892">
              <w:rPr>
                <w:rFonts w:ascii="Arial Narrow" w:hAnsi="Arial Narrow"/>
                <w:sz w:val="22"/>
                <w:szCs w:val="22"/>
              </w:rPr>
              <w:t xml:space="preserve">n </w:t>
            </w:r>
            <w:r w:rsidR="00D9198F">
              <w:rPr>
                <w:rFonts w:ascii="Arial Narrow" w:hAnsi="Arial Narrow"/>
                <w:sz w:val="22"/>
                <w:szCs w:val="22"/>
              </w:rPr>
              <w:t xml:space="preserve">wird durch das </w:t>
            </w:r>
            <w:r w:rsidR="00E67892">
              <w:rPr>
                <w:rFonts w:ascii="Arial Narrow" w:hAnsi="Arial Narrow"/>
                <w:sz w:val="22"/>
                <w:szCs w:val="22"/>
              </w:rPr>
              <w:t>ZE107</w:t>
            </w:r>
            <w:r w:rsidR="00357D3B">
              <w:rPr>
                <w:rFonts w:ascii="Arial Narrow" w:hAnsi="Arial Narrow"/>
                <w:sz w:val="22"/>
                <w:szCs w:val="22"/>
              </w:rPr>
              <w:t xml:space="preserve"> abgebildet.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4A1C214D" w:rsidR="008E6675" w:rsidRPr="000E52E9" w:rsidRDefault="004041DB" w:rsidP="00C11458">
            <w:pPr>
              <w:rPr>
                <w:rFonts w:ascii="Arial Narrow" w:hAnsi="Arial Narrow"/>
                <w:sz w:val="22"/>
                <w:szCs w:val="22"/>
              </w:rPr>
            </w:pPr>
            <w:r w:rsidRPr="006C1125">
              <w:rPr>
                <w:rFonts w:ascii="Arial Narrow" w:hAnsi="Arial Narrow"/>
                <w:sz w:val="22"/>
              </w:rPr>
              <w:t xml:space="preserve">Die Methode der Pathogeninaktivierung von Erythrozytenkonzentraten mittels </w:t>
            </w:r>
            <w:r w:rsidR="00F03312" w:rsidRPr="006C1125">
              <w:rPr>
                <w:rFonts w:ascii="Arial Narrow" w:hAnsi="Arial Narrow"/>
                <w:sz w:val="22"/>
              </w:rPr>
              <w:t xml:space="preserve">Amustalin und Gluthadion </w:t>
            </w:r>
            <w:r w:rsidR="00B75CF7" w:rsidRPr="006C1125">
              <w:rPr>
                <w:rFonts w:ascii="Arial Narrow" w:hAnsi="Arial Narrow"/>
                <w:sz w:val="22"/>
              </w:rPr>
              <w:t>basiert auf einem neuartigen Prinzip, bei dem die Replikation und Transkription</w:t>
            </w:r>
            <w:r w:rsidR="00034E80" w:rsidRPr="006C1125">
              <w:rPr>
                <w:rFonts w:ascii="Arial Narrow" w:hAnsi="Arial Narrow"/>
                <w:sz w:val="22"/>
              </w:rPr>
              <w:t xml:space="preserve"> des Erbgutes von Pathogenen (DNA und RNA) durch den Zusatz </w:t>
            </w:r>
            <w:r w:rsidR="00CF752D" w:rsidRPr="006C1125">
              <w:rPr>
                <w:rFonts w:ascii="Arial Narrow" w:hAnsi="Arial Narrow"/>
                <w:sz w:val="22"/>
              </w:rPr>
              <w:t>einer interkalier</w:t>
            </w:r>
            <w:r w:rsidR="00DC2DC5" w:rsidRPr="006C1125">
              <w:rPr>
                <w:rFonts w:ascii="Arial Narrow" w:hAnsi="Arial Narrow"/>
                <w:sz w:val="22"/>
              </w:rPr>
              <w:t xml:space="preserve">enden Substanz </w:t>
            </w:r>
            <w:r w:rsidR="00787DC4" w:rsidRPr="006C1125">
              <w:rPr>
                <w:rFonts w:ascii="Arial Narrow" w:hAnsi="Arial Narrow"/>
                <w:sz w:val="22"/>
              </w:rPr>
              <w:t xml:space="preserve">verhindert wird. </w:t>
            </w:r>
            <w:r w:rsidR="00E56B2B" w:rsidRPr="006C1125">
              <w:rPr>
                <w:rFonts w:ascii="Arial Narrow" w:hAnsi="Arial Narrow"/>
                <w:sz w:val="22"/>
              </w:rPr>
              <w:t>Das Verfahren befindet sich aktuell in der klinischen Entwicklungsphase.</w:t>
            </w:r>
            <w:r w:rsidR="00E56B2B" w:rsidRPr="000E52E9">
              <w:rPr>
                <w:rFonts w:ascii="Arial Narrow" w:hAnsi="Arial Narrow"/>
                <w:sz w:val="22"/>
              </w:rPr>
              <w:t xml:space="preserve"> </w:t>
            </w:r>
            <w:r w:rsidR="00034E80" w:rsidRPr="000E52E9">
              <w:rPr>
                <w:rFonts w:ascii="Arial Narrow" w:hAnsi="Arial Narrow"/>
                <w:sz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189E2191"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241DCB09" w:rsidR="00D14350" w:rsidRPr="000E52E9" w:rsidRDefault="00356BB3" w:rsidP="00C112A6">
            <w:pPr>
              <w:rPr>
                <w:rFonts w:ascii="Arial Narrow" w:hAnsi="Arial Narrow"/>
                <w:sz w:val="22"/>
              </w:rPr>
            </w:pPr>
            <w:r>
              <w:rPr>
                <w:rFonts w:ascii="Arial Narrow" w:hAnsi="Arial Narrow"/>
                <w:sz w:val="22"/>
              </w:rPr>
              <w:t>Unbekannt</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614D1875" w:rsidR="00044597" w:rsidRPr="000E52E9" w:rsidRDefault="00044597" w:rsidP="00C112A6">
            <w:pPr>
              <w:rPr>
                <w:rFonts w:ascii="Arial Narrow" w:hAnsi="Arial Narrow"/>
                <w:sz w:val="22"/>
              </w:rPr>
            </w:pP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217AEA9F" w:rsidR="00C112A6" w:rsidRPr="00B470D6" w:rsidRDefault="007C581F" w:rsidP="00C112A6">
            <w:pPr>
              <w:rPr>
                <w:rFonts w:ascii="Arial Narrow" w:hAnsi="Arial Narrow"/>
                <w:highlight w:val="yellow"/>
              </w:rPr>
            </w:pPr>
            <w:r>
              <w:rPr>
                <w:rFonts w:ascii="Arial Narrow" w:hAnsi="Arial Narrow"/>
                <w:sz w:val="22"/>
                <w:highlight w:val="yellow"/>
              </w:rPr>
              <w:lastRenderedPageBreak/>
              <w:t xml:space="preserve">Eine genaue Schätzung ist aufgrund </w:t>
            </w:r>
            <w:r w:rsidR="00ED3D6D">
              <w:rPr>
                <w:rFonts w:ascii="Arial Narrow" w:hAnsi="Arial Narrow"/>
                <w:sz w:val="22"/>
                <w:highlight w:val="yellow"/>
              </w:rPr>
              <w:t>fehlender</w:t>
            </w:r>
            <w:r>
              <w:rPr>
                <w:rFonts w:ascii="Arial Narrow" w:hAnsi="Arial Narrow"/>
                <w:sz w:val="22"/>
                <w:highlight w:val="yellow"/>
              </w:rPr>
              <w:t xml:space="preserve"> Daten nicht möglich.</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048494A8"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7C581F">
              <w:rPr>
                <w:rFonts w:ascii="Arial Narrow" w:hAnsi="Arial Narrow"/>
                <w:b/>
                <w:sz w:val="22"/>
              </w:rPr>
              <w:t>3</w:t>
            </w:r>
            <w:r w:rsidR="000953D2">
              <w:rPr>
                <w:rFonts w:ascii="Arial Narrow" w:hAnsi="Arial Narrow"/>
                <w:b/>
                <w:sz w:val="22"/>
              </w:rPr>
              <w:t xml:space="preserve"> oder in 202</w:t>
            </w:r>
            <w:r w:rsidR="007C581F">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732B021E"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C581F">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1319279"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C581F">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53356FB"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7C581F">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D03D20B" w14:textId="658CBCA9" w:rsidR="00156FE0" w:rsidRPr="001D1E45" w:rsidRDefault="001D1E45" w:rsidP="007A314E">
            <w:pPr>
              <w:rPr>
                <w:rFonts w:ascii="Arial Narrow" w:hAnsi="Arial Narrow"/>
                <w:sz w:val="22"/>
                <w:szCs w:val="22"/>
              </w:rPr>
            </w:pPr>
            <w:r w:rsidRPr="00B82E86">
              <w:rPr>
                <w:rFonts w:ascii="Arial Narrow" w:hAnsi="Arial Narrow"/>
                <w:sz w:val="22"/>
                <w:szCs w:val="22"/>
              </w:rPr>
              <w:t xml:space="preserve">Da </w:t>
            </w:r>
            <w:r w:rsidR="00661CCB">
              <w:rPr>
                <w:rFonts w:ascii="Arial Narrow" w:hAnsi="Arial Narrow"/>
                <w:sz w:val="22"/>
                <w:szCs w:val="22"/>
              </w:rPr>
              <w:t>INTERCEPT</w:t>
            </w:r>
            <w:r w:rsidR="009331AD">
              <w:rPr>
                <w:rFonts w:ascii="Arial Narrow" w:hAnsi="Arial Narrow"/>
                <w:sz w:val="22"/>
                <w:szCs w:val="22"/>
              </w:rPr>
              <w:t>™</w:t>
            </w:r>
            <w:r w:rsidRPr="00B82E86">
              <w:rPr>
                <w:rFonts w:ascii="Arial Narrow" w:hAnsi="Arial Narrow"/>
                <w:sz w:val="22"/>
                <w:szCs w:val="22"/>
              </w:rPr>
              <w:t xml:space="preserve"> derzeit noch nicht zugelassen ist, lassen sich noch keine Aussagen zu den anfallenden </w:t>
            </w:r>
            <w:r w:rsidR="009331AD">
              <w:rPr>
                <w:rFonts w:ascii="Arial Narrow" w:hAnsi="Arial Narrow"/>
                <w:sz w:val="22"/>
                <w:szCs w:val="22"/>
              </w:rPr>
              <w:t>K</w:t>
            </w:r>
            <w:r w:rsidRPr="00B82E86">
              <w:rPr>
                <w:rFonts w:ascii="Arial Narrow" w:hAnsi="Arial Narrow"/>
                <w:sz w:val="22"/>
                <w:szCs w:val="22"/>
              </w:rPr>
              <w:t>osten treffen.</w:t>
            </w:r>
            <w:r w:rsidR="008E0904">
              <w:rPr>
                <w:rFonts w:ascii="Arial Narrow" w:hAnsi="Arial Narrow"/>
                <w:sz w:val="22"/>
                <w:szCs w:val="22"/>
              </w:rPr>
              <w:t xml:space="preserve"> </w:t>
            </w:r>
            <w:r w:rsidR="00596A48">
              <w:rPr>
                <w:rFonts w:ascii="Arial Narrow" w:hAnsi="Arial Narrow"/>
                <w:sz w:val="22"/>
                <w:szCs w:val="22"/>
              </w:rPr>
              <w:t xml:space="preserve">Gegenüber </w:t>
            </w:r>
            <w:r w:rsidR="00D13B08">
              <w:rPr>
                <w:rFonts w:ascii="Arial Narrow" w:hAnsi="Arial Narrow"/>
                <w:sz w:val="22"/>
                <w:szCs w:val="22"/>
              </w:rPr>
              <w:t>den nicht-pathogeninaktivierten Erythrozyten</w:t>
            </w:r>
            <w:r w:rsidR="00711BBB">
              <w:rPr>
                <w:rFonts w:ascii="Arial Narrow" w:hAnsi="Arial Narrow"/>
                <w:sz w:val="22"/>
                <w:szCs w:val="22"/>
              </w:rPr>
              <w:t xml:space="preserve">konzentraten entstehen jedoch </w:t>
            </w:r>
            <w:r w:rsidR="00596A48">
              <w:rPr>
                <w:rFonts w:ascii="Arial Narrow" w:hAnsi="Arial Narrow"/>
                <w:sz w:val="22"/>
                <w:szCs w:val="22"/>
              </w:rPr>
              <w:t>Mehrkosten.</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B7369D" w14:paraId="56F9F66E" w14:textId="77777777">
        <w:tc>
          <w:tcPr>
            <w:tcW w:w="9212" w:type="dxa"/>
          </w:tcPr>
          <w:p w14:paraId="3FDE8751" w14:textId="4D9C598A" w:rsidR="008E6675" w:rsidRPr="00C92C88" w:rsidRDefault="4D2DA96D" w:rsidP="005638EB">
            <w:pPr>
              <w:rPr>
                <w:rFonts w:ascii="Arial Narrow" w:hAnsi="Arial Narrow"/>
                <w:sz w:val="22"/>
                <w:szCs w:val="22"/>
                <w:lang w:val="en-GB"/>
              </w:rPr>
            </w:pPr>
            <w:r w:rsidRPr="00C92C88">
              <w:rPr>
                <w:rFonts w:ascii="Arial Narrow" w:hAnsi="Arial Narrow"/>
                <w:sz w:val="22"/>
                <w:szCs w:val="22"/>
                <w:lang w:val="en-GB"/>
              </w:rPr>
              <w:t xml:space="preserve">Q61B, I08F, G67B, F62C, </w:t>
            </w:r>
            <w:r w:rsidR="2CEEE4B0" w:rsidRPr="00C92C88">
              <w:rPr>
                <w:rFonts w:ascii="Arial Narrow" w:hAnsi="Arial Narrow"/>
                <w:sz w:val="22"/>
                <w:szCs w:val="22"/>
                <w:lang w:val="en-GB"/>
              </w:rPr>
              <w:t>I34Z, G37Z, G46C, I47B, R61H, G47B</w:t>
            </w:r>
          </w:p>
        </w:tc>
      </w:tr>
    </w:tbl>
    <w:p w14:paraId="4E6FC927" w14:textId="77777777" w:rsidR="008E6675" w:rsidRPr="001C100E" w:rsidRDefault="008E6675" w:rsidP="005638EB">
      <w:pPr>
        <w:rPr>
          <w:rFonts w:ascii="Arial Narrow" w:hAnsi="Arial Narrow"/>
          <w:b/>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0C06450C" w14:textId="38DCAF4B" w:rsidR="006549F4" w:rsidRPr="00ED4386" w:rsidRDefault="004A28AC" w:rsidP="006549F4">
            <w:pPr>
              <w:rPr>
                <w:rFonts w:ascii="Arial Narrow" w:hAnsi="Arial Narrow"/>
                <w:sz w:val="22"/>
              </w:rPr>
            </w:pPr>
            <w:r>
              <w:rPr>
                <w:rFonts w:ascii="Arial Narrow" w:hAnsi="Arial Narrow"/>
                <w:sz w:val="22"/>
              </w:rPr>
              <w:t>Pathogeninaktiv</w:t>
            </w:r>
            <w:r w:rsidR="009A7B91">
              <w:rPr>
                <w:rFonts w:ascii="Arial Narrow" w:hAnsi="Arial Narrow"/>
                <w:sz w:val="22"/>
              </w:rPr>
              <w:t>i</w:t>
            </w:r>
            <w:r>
              <w:rPr>
                <w:rFonts w:ascii="Arial Narrow" w:hAnsi="Arial Narrow"/>
                <w:sz w:val="22"/>
              </w:rPr>
              <w:t>erte Erythrozytenkonzentrate befinden sich in der klinischen Entwicklungsphase und sind</w:t>
            </w:r>
            <w:r w:rsidR="006549F4" w:rsidRPr="000E52E9">
              <w:rPr>
                <w:rFonts w:ascii="Arial Narrow" w:hAnsi="Arial Narrow"/>
                <w:sz w:val="22"/>
              </w:rPr>
              <w:t xml:space="preserve"> in Deutschland </w:t>
            </w:r>
            <w:r w:rsidR="00D31BFB">
              <w:rPr>
                <w:rFonts w:ascii="Arial Narrow" w:hAnsi="Arial Narrow"/>
                <w:sz w:val="22"/>
              </w:rPr>
              <w:t xml:space="preserve">noch nicht </w:t>
            </w:r>
            <w:r w:rsidR="006549F4" w:rsidRPr="000E52E9">
              <w:rPr>
                <w:rFonts w:ascii="Arial Narrow" w:hAnsi="Arial Narrow"/>
                <w:sz w:val="22"/>
              </w:rPr>
              <w:t xml:space="preserve">auf dem Markt. </w:t>
            </w:r>
          </w:p>
          <w:p w14:paraId="67938C43" w14:textId="0908418F" w:rsidR="006549F4" w:rsidRPr="00ED4386" w:rsidRDefault="001774E7" w:rsidP="006549F4">
            <w:pPr>
              <w:rPr>
                <w:rFonts w:ascii="Arial Narrow" w:hAnsi="Arial Narrow"/>
                <w:sz w:val="22"/>
              </w:rPr>
            </w:pPr>
            <w:r w:rsidRPr="00ED4386">
              <w:rPr>
                <w:rFonts w:ascii="Arial Narrow" w:hAnsi="Arial Narrow"/>
                <w:sz w:val="22"/>
              </w:rPr>
              <w:t xml:space="preserve">Für </w:t>
            </w:r>
            <w:r w:rsidR="003444E1">
              <w:rPr>
                <w:rFonts w:ascii="Arial Narrow" w:hAnsi="Arial Narrow"/>
                <w:sz w:val="22"/>
              </w:rPr>
              <w:t>die Datenjahre 2023 und 2024</w:t>
            </w:r>
            <w:r w:rsidR="006549F4" w:rsidRPr="00ED4386">
              <w:rPr>
                <w:rFonts w:ascii="Arial Narrow" w:hAnsi="Arial Narrow"/>
                <w:sz w:val="22"/>
              </w:rPr>
              <w:t xml:space="preserve"> können </w:t>
            </w:r>
            <w:r w:rsidR="00A100DC" w:rsidRPr="00ED4386">
              <w:rPr>
                <w:rFonts w:ascii="Arial Narrow" w:hAnsi="Arial Narrow"/>
                <w:sz w:val="22"/>
              </w:rPr>
              <w:t xml:space="preserve">daher </w:t>
            </w:r>
            <w:r w:rsidR="006549F4" w:rsidRPr="00ED4386">
              <w:rPr>
                <w:rFonts w:ascii="Arial Narrow" w:hAnsi="Arial Narrow"/>
                <w:sz w:val="22"/>
              </w:rPr>
              <w:t xml:space="preserve">aus den Kalkulationshäusern keine Kostendaten für den Einsatz vorliegen. </w:t>
            </w:r>
          </w:p>
          <w:p w14:paraId="2278DB4E" w14:textId="634CD2F1" w:rsidR="006549F4" w:rsidRPr="00ED4386" w:rsidRDefault="006549F4" w:rsidP="006549F4">
            <w:pPr>
              <w:rPr>
                <w:rFonts w:ascii="Arial Narrow" w:hAnsi="Arial Narrow"/>
                <w:sz w:val="22"/>
              </w:rPr>
            </w:pPr>
            <w:bookmarkStart w:id="1" w:name="_Hlk83811057"/>
            <w:r w:rsidRPr="00ED4386">
              <w:rPr>
                <w:rFonts w:ascii="Arial Narrow" w:hAnsi="Arial Narrow"/>
                <w:sz w:val="22"/>
              </w:rPr>
              <w:t xml:space="preserve">Eine sachgerechte Abbildung im G-DRG System </w:t>
            </w:r>
            <w:r w:rsidR="00ED4386">
              <w:rPr>
                <w:rFonts w:ascii="Arial Narrow" w:hAnsi="Arial Narrow"/>
                <w:sz w:val="22"/>
              </w:rPr>
              <w:t>202</w:t>
            </w:r>
            <w:r w:rsidR="00C158AE">
              <w:rPr>
                <w:rFonts w:ascii="Arial Narrow" w:hAnsi="Arial Narrow"/>
                <w:sz w:val="22"/>
              </w:rPr>
              <w:t>5</w:t>
            </w:r>
            <w:r w:rsidR="00ED4386">
              <w:rPr>
                <w:rFonts w:ascii="Arial Narrow" w:hAnsi="Arial Narrow"/>
                <w:sz w:val="22"/>
              </w:rPr>
              <w:t xml:space="preserve"> </w:t>
            </w:r>
            <w:r w:rsidRPr="00ED4386">
              <w:rPr>
                <w:rFonts w:ascii="Arial Narrow" w:hAnsi="Arial Narrow"/>
                <w:sz w:val="22"/>
              </w:rPr>
              <w:t>wird damit nicht möglich.</w:t>
            </w:r>
          </w:p>
          <w:bookmarkEnd w:id="1"/>
          <w:p w14:paraId="222643B9" w14:textId="61E72C8E" w:rsidR="008E6675" w:rsidRPr="00ED4386" w:rsidRDefault="006549F4" w:rsidP="0004094A">
            <w:pPr>
              <w:rPr>
                <w:rFonts w:ascii="Arial Narrow" w:hAnsi="Arial Narrow"/>
                <w:sz w:val="22"/>
              </w:rPr>
            </w:pPr>
            <w:r w:rsidRPr="000E52E9">
              <w:rPr>
                <w:rFonts w:ascii="Arial Narrow" w:hAnsi="Arial Narrow"/>
                <w:sz w:val="22"/>
              </w:rPr>
              <w:t xml:space="preserve">Die zusätzlichen Kosten pro </w:t>
            </w:r>
            <w:r w:rsidR="003444E1">
              <w:rPr>
                <w:rFonts w:ascii="Arial Narrow" w:hAnsi="Arial Narrow"/>
                <w:sz w:val="22"/>
              </w:rPr>
              <w:t>Einsatz</w:t>
            </w:r>
            <w:r w:rsidRPr="000E52E9">
              <w:rPr>
                <w:rFonts w:ascii="Arial Narrow" w:hAnsi="Arial Narrow"/>
                <w:sz w:val="22"/>
              </w:rPr>
              <w:t xml:space="preserve"> können aber mit </w:t>
            </w:r>
            <w:r w:rsidR="00A100DC" w:rsidRPr="000E52E9">
              <w:rPr>
                <w:rFonts w:ascii="Arial Narrow" w:hAnsi="Arial Narrow"/>
                <w:sz w:val="22"/>
              </w:rPr>
              <w:t>den o.g.</w:t>
            </w:r>
            <w:r w:rsidRPr="000E52E9">
              <w:rPr>
                <w:rFonts w:ascii="Arial Narrow" w:hAnsi="Arial Narrow"/>
                <w:sz w:val="22"/>
              </w:rPr>
              <w:t xml:space="preserve"> Fallpauschale</w:t>
            </w:r>
            <w:r w:rsidR="00A100DC" w:rsidRPr="000E52E9">
              <w:rPr>
                <w:rFonts w:ascii="Arial Narrow" w:hAnsi="Arial Narrow"/>
                <w:sz w:val="22"/>
              </w:rPr>
              <w:t>n</w:t>
            </w:r>
            <w:r w:rsidR="00D31BFB">
              <w:rPr>
                <w:rFonts w:ascii="Arial Narrow" w:hAnsi="Arial Narrow"/>
                <w:sz w:val="22"/>
              </w:rPr>
              <w:t xml:space="preserve"> </w:t>
            </w:r>
            <w:r w:rsidRPr="000E52E9">
              <w:rPr>
                <w:rFonts w:ascii="Arial Narrow" w:hAnsi="Arial Narrow"/>
                <w:sz w:val="22"/>
              </w:rPr>
              <w:t>allein nicht ausreichend abgebildet werden</w:t>
            </w:r>
            <w:r w:rsidR="00F775B8">
              <w:rPr>
                <w:rFonts w:ascii="Arial Narrow" w:hAnsi="Arial Narrow"/>
                <w:sz w:val="22"/>
              </w:rPr>
              <w:t xml:space="preserve"> und pathogeninaktivierte EKs sind bisher nicht im ZE-Katalog enthalten. Eine Mittelung der Kosten über alle Behandlungen führt zu einer Unterfinanzierung in den betroffenen DRGs, da die entstehenden Kosten d</w:t>
            </w:r>
            <w:r w:rsidR="00EE4E56">
              <w:rPr>
                <w:rFonts w:ascii="Arial Narrow" w:hAnsi="Arial Narrow"/>
                <w:sz w:val="22"/>
              </w:rPr>
              <w:t xml:space="preserve">er Methode stark von der Anzahl der benötigten EKs des Patienten abhängig sind. Das vorhandene Zusatzentgelt für Erythrozytenkonzentrate (ZE107) genügt nicht zur Deckung der Kosten </w:t>
            </w:r>
            <w:r w:rsidR="00CB3980">
              <w:rPr>
                <w:rFonts w:ascii="Arial Narrow" w:hAnsi="Arial Narrow"/>
                <w:sz w:val="22"/>
              </w:rPr>
              <w:t>für das INTERCEPT</w:t>
            </w:r>
            <w:r w:rsidR="00600CE4">
              <w:rPr>
                <w:rFonts w:ascii="Arial Narrow" w:hAnsi="Arial Narrow"/>
                <w:sz w:val="22"/>
              </w:rPr>
              <w:t>™</w:t>
            </w:r>
            <w:r w:rsidR="00CB3980">
              <w:rPr>
                <w:rFonts w:ascii="Arial Narrow" w:hAnsi="Arial Narrow"/>
                <w:sz w:val="22"/>
              </w:rPr>
              <w:t xml:space="preserve"> Blood System für Erythrozyten. </w:t>
            </w:r>
            <w:r w:rsidR="00305D42">
              <w:rPr>
                <w:rFonts w:ascii="Arial Narrow" w:hAnsi="Arial Narrow"/>
                <w:sz w:val="22"/>
              </w:rPr>
              <w:t>Für</w:t>
            </w:r>
            <w:r w:rsidR="00A55F76">
              <w:rPr>
                <w:rFonts w:ascii="Arial Narrow" w:hAnsi="Arial Narrow"/>
                <w:sz w:val="22"/>
              </w:rPr>
              <w:t xml:space="preserve"> pathogeninaktivierte Thrombozytenkonzentrat</w:t>
            </w:r>
            <w:r w:rsidR="00D51CAB">
              <w:rPr>
                <w:rFonts w:ascii="Arial Narrow" w:hAnsi="Arial Narrow"/>
                <w:sz w:val="22"/>
              </w:rPr>
              <w:t xml:space="preserve">e sind ZE im DRG Katalog enthalten, die </w:t>
            </w:r>
            <w:r w:rsidR="009C2C2D">
              <w:rPr>
                <w:rFonts w:ascii="Arial Narrow" w:hAnsi="Arial Narrow"/>
                <w:sz w:val="22"/>
              </w:rPr>
              <w:t>gegenüber nicht pathogeninaktivierten Thrombozyntenkonzentrate</w:t>
            </w:r>
            <w:r w:rsidR="002E6B29">
              <w:rPr>
                <w:rFonts w:ascii="Arial Narrow" w:hAnsi="Arial Narrow"/>
                <w:sz w:val="22"/>
              </w:rPr>
              <w:t xml:space="preserve"> höher bewertet sind. </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F3C09" w14:textId="77777777" w:rsidR="009F46C5" w:rsidRDefault="009F46C5">
      <w:r>
        <w:separator/>
      </w:r>
    </w:p>
  </w:endnote>
  <w:endnote w:type="continuationSeparator" w:id="0">
    <w:p w14:paraId="0CE189E1" w14:textId="77777777" w:rsidR="009F46C5" w:rsidRDefault="009F46C5">
      <w:r>
        <w:continuationSeparator/>
      </w:r>
    </w:p>
  </w:endnote>
  <w:endnote w:type="continuationNotice" w:id="1">
    <w:p w14:paraId="34A6044F" w14:textId="77777777" w:rsidR="009F46C5" w:rsidRDefault="009F4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09CBDA0C"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F3612E">
      <w:rPr>
        <w:rFonts w:ascii="Arial Narrow" w:hAnsi="Arial Narrow"/>
        <w:sz w:val="20"/>
        <w:szCs w:val="20"/>
      </w:rPr>
      <w:t>Pathogeninaktivierte Erythrozytenkonzentrate</w:t>
    </w:r>
  </w:p>
  <w:p w14:paraId="6E7C81DA" w14:textId="400DB47D" w:rsidR="00F64982" w:rsidRPr="00F91BA2" w:rsidRDefault="004D024F" w:rsidP="00435583">
    <w:pPr>
      <w:rPr>
        <w:rFonts w:ascii="Arial Narrow" w:hAnsi="Arial Narrow"/>
        <w:sz w:val="20"/>
        <w:szCs w:val="20"/>
      </w:rPr>
    </w:pPr>
    <w:r w:rsidRPr="00F91BA2">
      <w:rPr>
        <w:rFonts w:ascii="Arial Narrow" w:hAnsi="Arial Narrow"/>
        <w:sz w:val="20"/>
        <w:szCs w:val="20"/>
      </w:rPr>
      <w:t xml:space="preserve">Seite </w:t>
    </w:r>
    <w:r w:rsidRPr="00F91BA2">
      <w:rPr>
        <w:rFonts w:ascii="Arial Narrow" w:hAnsi="Arial Narrow"/>
        <w:b/>
        <w:bCs/>
        <w:sz w:val="20"/>
        <w:szCs w:val="20"/>
      </w:rPr>
      <w:fldChar w:fldCharType="begin"/>
    </w:r>
    <w:r w:rsidRPr="00F91BA2">
      <w:rPr>
        <w:rFonts w:ascii="Arial Narrow" w:hAnsi="Arial Narrow"/>
        <w:b/>
        <w:bCs/>
        <w:sz w:val="20"/>
        <w:szCs w:val="20"/>
      </w:rPr>
      <w:instrText>PAGE  \* Arabic  \* MERGEFORMAT</w:instrText>
    </w:r>
    <w:r w:rsidRPr="00F91BA2">
      <w:rPr>
        <w:rFonts w:ascii="Arial Narrow" w:hAnsi="Arial Narrow"/>
        <w:b/>
        <w:bCs/>
        <w:sz w:val="20"/>
        <w:szCs w:val="20"/>
      </w:rPr>
      <w:fldChar w:fldCharType="separate"/>
    </w:r>
    <w:r w:rsidRPr="00F91BA2">
      <w:rPr>
        <w:rFonts w:ascii="Arial Narrow" w:hAnsi="Arial Narrow"/>
        <w:b/>
        <w:bCs/>
        <w:sz w:val="20"/>
        <w:szCs w:val="20"/>
      </w:rPr>
      <w:t>1</w:t>
    </w:r>
    <w:r w:rsidRPr="00F91BA2">
      <w:rPr>
        <w:rFonts w:ascii="Arial Narrow" w:hAnsi="Arial Narrow"/>
        <w:b/>
        <w:bCs/>
        <w:sz w:val="20"/>
        <w:szCs w:val="20"/>
      </w:rPr>
      <w:fldChar w:fldCharType="end"/>
    </w:r>
    <w:r w:rsidRPr="00F91BA2">
      <w:rPr>
        <w:rFonts w:ascii="Arial Narrow" w:hAnsi="Arial Narrow"/>
        <w:sz w:val="20"/>
        <w:szCs w:val="20"/>
      </w:rPr>
      <w:t xml:space="preserve"> von </w:t>
    </w:r>
    <w:r w:rsidRPr="00F91BA2">
      <w:rPr>
        <w:rFonts w:ascii="Arial Narrow" w:hAnsi="Arial Narrow"/>
        <w:b/>
        <w:bCs/>
        <w:sz w:val="20"/>
        <w:szCs w:val="20"/>
      </w:rPr>
      <w:fldChar w:fldCharType="begin"/>
    </w:r>
    <w:r w:rsidRPr="00F91BA2">
      <w:rPr>
        <w:rFonts w:ascii="Arial Narrow" w:hAnsi="Arial Narrow"/>
        <w:b/>
        <w:bCs/>
        <w:sz w:val="20"/>
        <w:szCs w:val="20"/>
      </w:rPr>
      <w:instrText>NUMPAGES  \* Arabic  \* MERGEFORMAT</w:instrText>
    </w:r>
    <w:r w:rsidRPr="00F91BA2">
      <w:rPr>
        <w:rFonts w:ascii="Arial Narrow" w:hAnsi="Arial Narrow"/>
        <w:b/>
        <w:bCs/>
        <w:sz w:val="20"/>
        <w:szCs w:val="20"/>
      </w:rPr>
      <w:fldChar w:fldCharType="separate"/>
    </w:r>
    <w:r w:rsidRPr="00F91BA2">
      <w:rPr>
        <w:rFonts w:ascii="Arial Narrow" w:hAnsi="Arial Narrow"/>
        <w:b/>
        <w:bCs/>
        <w:sz w:val="20"/>
        <w:szCs w:val="20"/>
      </w:rPr>
      <w:t>2</w:t>
    </w:r>
    <w:r w:rsidRPr="00F91BA2">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321B" w14:textId="77777777" w:rsidR="009F46C5" w:rsidRDefault="009F46C5">
      <w:r>
        <w:separator/>
      </w:r>
    </w:p>
  </w:footnote>
  <w:footnote w:type="continuationSeparator" w:id="0">
    <w:p w14:paraId="2C00C9D2" w14:textId="77777777" w:rsidR="009F46C5" w:rsidRDefault="009F46C5">
      <w:r>
        <w:continuationSeparator/>
      </w:r>
    </w:p>
  </w:footnote>
  <w:footnote w:type="continuationNotice" w:id="1">
    <w:p w14:paraId="2313046D" w14:textId="77777777" w:rsidR="009F46C5" w:rsidRDefault="009F4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39230EFC" w:rsidR="00F64982" w:rsidRPr="00C707FF" w:rsidRDefault="00F64982" w:rsidP="00596F9A">
    <w:pPr>
      <w:pStyle w:val="Titel"/>
      <w:rPr>
        <w:sz w:val="40"/>
        <w:szCs w:val="44"/>
      </w:rPr>
    </w:pPr>
    <w:r w:rsidRPr="00C707FF">
      <w:rPr>
        <w:sz w:val="40"/>
        <w:szCs w:val="44"/>
      </w:rPr>
      <w:t>NUB Antrag 202</w:t>
    </w:r>
    <w:r w:rsidR="001C100E">
      <w:rPr>
        <w:sz w:val="40"/>
        <w:szCs w:val="44"/>
      </w:rPr>
      <w:t>4</w:t>
    </w:r>
    <w:r w:rsidRPr="00C707FF">
      <w:rPr>
        <w:sz w:val="40"/>
        <w:szCs w:val="44"/>
      </w:rPr>
      <w:t>/202</w:t>
    </w:r>
    <w:r w:rsidR="001C100E">
      <w:rPr>
        <w:sz w:val="40"/>
        <w:szCs w:val="44"/>
      </w:rPr>
      <w:t>5</w:t>
    </w:r>
    <w:r w:rsidRPr="00C707FF">
      <w:rPr>
        <w:sz w:val="40"/>
        <w:szCs w:val="44"/>
      </w:rPr>
      <w:t xml:space="preserve"> </w:t>
    </w:r>
  </w:p>
  <w:p w14:paraId="2D6FE634" w14:textId="48A4232C" w:rsidR="00F64982" w:rsidRPr="00C707FF" w:rsidRDefault="00A27574" w:rsidP="00596F9A">
    <w:pPr>
      <w:pStyle w:val="Titel"/>
      <w:rPr>
        <w:sz w:val="36"/>
        <w:szCs w:val="40"/>
      </w:rPr>
    </w:pPr>
    <w:r w:rsidRPr="00C707FF">
      <w:rPr>
        <w:sz w:val="36"/>
        <w:szCs w:val="40"/>
      </w:rPr>
      <w:t>Pathogeninaktivier</w:t>
    </w:r>
    <w:r w:rsidR="001D2C84" w:rsidRPr="00C707FF">
      <w:rPr>
        <w:sz w:val="36"/>
        <w:szCs w:val="40"/>
      </w:rPr>
      <w:t>te Erythrozytenkonzentrate</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665745943">
    <w:abstractNumId w:val="0"/>
  </w:num>
  <w:num w:numId="2" w16cid:durableId="855848653">
    <w:abstractNumId w:val="9"/>
  </w:num>
  <w:num w:numId="3" w16cid:durableId="464739311">
    <w:abstractNumId w:val="5"/>
  </w:num>
  <w:num w:numId="4" w16cid:durableId="1222208168">
    <w:abstractNumId w:val="3"/>
  </w:num>
  <w:num w:numId="5" w16cid:durableId="190850493">
    <w:abstractNumId w:val="8"/>
  </w:num>
  <w:num w:numId="6" w16cid:durableId="366225683">
    <w:abstractNumId w:val="2"/>
  </w:num>
  <w:num w:numId="7" w16cid:durableId="1042364542">
    <w:abstractNumId w:val="7"/>
  </w:num>
  <w:num w:numId="8" w16cid:durableId="115410359">
    <w:abstractNumId w:val="4"/>
  </w:num>
  <w:num w:numId="9" w16cid:durableId="2033602011">
    <w:abstractNumId w:val="1"/>
  </w:num>
  <w:num w:numId="10" w16cid:durableId="128138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15F56"/>
    <w:rsid w:val="00024651"/>
    <w:rsid w:val="00034E80"/>
    <w:rsid w:val="0004094A"/>
    <w:rsid w:val="00044597"/>
    <w:rsid w:val="000461D1"/>
    <w:rsid w:val="000632E5"/>
    <w:rsid w:val="00065A38"/>
    <w:rsid w:val="00072A33"/>
    <w:rsid w:val="000953D2"/>
    <w:rsid w:val="00095578"/>
    <w:rsid w:val="000A1AF7"/>
    <w:rsid w:val="000B26D6"/>
    <w:rsid w:val="000B7A67"/>
    <w:rsid w:val="000C704A"/>
    <w:rsid w:val="000D182E"/>
    <w:rsid w:val="000D6E59"/>
    <w:rsid w:val="000D704F"/>
    <w:rsid w:val="000E2E60"/>
    <w:rsid w:val="000E52E9"/>
    <w:rsid w:val="000F3386"/>
    <w:rsid w:val="000F4D3D"/>
    <w:rsid w:val="001009AC"/>
    <w:rsid w:val="00103B98"/>
    <w:rsid w:val="00104C97"/>
    <w:rsid w:val="00126A56"/>
    <w:rsid w:val="001274C2"/>
    <w:rsid w:val="00142D49"/>
    <w:rsid w:val="00153149"/>
    <w:rsid w:val="00156FE0"/>
    <w:rsid w:val="00166FD8"/>
    <w:rsid w:val="00174C6A"/>
    <w:rsid w:val="001774E7"/>
    <w:rsid w:val="001A2DF0"/>
    <w:rsid w:val="001A7AC7"/>
    <w:rsid w:val="001B3BD9"/>
    <w:rsid w:val="001C100E"/>
    <w:rsid w:val="001C1951"/>
    <w:rsid w:val="001C478D"/>
    <w:rsid w:val="001C76E3"/>
    <w:rsid w:val="001D1E45"/>
    <w:rsid w:val="001D2C84"/>
    <w:rsid w:val="001F010F"/>
    <w:rsid w:val="001F4753"/>
    <w:rsid w:val="002005AF"/>
    <w:rsid w:val="002020F9"/>
    <w:rsid w:val="00211A61"/>
    <w:rsid w:val="002333FF"/>
    <w:rsid w:val="00234FB1"/>
    <w:rsid w:val="00246799"/>
    <w:rsid w:val="00246C40"/>
    <w:rsid w:val="0025639B"/>
    <w:rsid w:val="00256B7C"/>
    <w:rsid w:val="00283085"/>
    <w:rsid w:val="0028432D"/>
    <w:rsid w:val="00285AE4"/>
    <w:rsid w:val="0028624B"/>
    <w:rsid w:val="00294522"/>
    <w:rsid w:val="002A14CD"/>
    <w:rsid w:val="002B34F9"/>
    <w:rsid w:val="002D7403"/>
    <w:rsid w:val="002D7C50"/>
    <w:rsid w:val="002E5E26"/>
    <w:rsid w:val="002E6B29"/>
    <w:rsid w:val="002F0887"/>
    <w:rsid w:val="002F1FCE"/>
    <w:rsid w:val="00301661"/>
    <w:rsid w:val="00305016"/>
    <w:rsid w:val="00305D42"/>
    <w:rsid w:val="00312B1D"/>
    <w:rsid w:val="00321E33"/>
    <w:rsid w:val="003337F3"/>
    <w:rsid w:val="003444E1"/>
    <w:rsid w:val="003479E5"/>
    <w:rsid w:val="00356BB3"/>
    <w:rsid w:val="00357D3B"/>
    <w:rsid w:val="0036178C"/>
    <w:rsid w:val="0036325A"/>
    <w:rsid w:val="0038174B"/>
    <w:rsid w:val="00385CBC"/>
    <w:rsid w:val="00390E2F"/>
    <w:rsid w:val="003B2E05"/>
    <w:rsid w:val="003C147E"/>
    <w:rsid w:val="003D64D4"/>
    <w:rsid w:val="003F2692"/>
    <w:rsid w:val="004041DB"/>
    <w:rsid w:val="0040610F"/>
    <w:rsid w:val="0041156E"/>
    <w:rsid w:val="00415DD6"/>
    <w:rsid w:val="0042008D"/>
    <w:rsid w:val="004249D8"/>
    <w:rsid w:val="004326E6"/>
    <w:rsid w:val="00435583"/>
    <w:rsid w:val="00436098"/>
    <w:rsid w:val="00437B25"/>
    <w:rsid w:val="00454847"/>
    <w:rsid w:val="004573DD"/>
    <w:rsid w:val="00463705"/>
    <w:rsid w:val="004642E2"/>
    <w:rsid w:val="00467246"/>
    <w:rsid w:val="00467555"/>
    <w:rsid w:val="00484531"/>
    <w:rsid w:val="00487546"/>
    <w:rsid w:val="00492AB4"/>
    <w:rsid w:val="00494C0F"/>
    <w:rsid w:val="004A28AC"/>
    <w:rsid w:val="004A56E0"/>
    <w:rsid w:val="004B2414"/>
    <w:rsid w:val="004B3438"/>
    <w:rsid w:val="004B624B"/>
    <w:rsid w:val="004B6C59"/>
    <w:rsid w:val="004C1078"/>
    <w:rsid w:val="004C4F82"/>
    <w:rsid w:val="004D024F"/>
    <w:rsid w:val="004E013F"/>
    <w:rsid w:val="004E107E"/>
    <w:rsid w:val="004E1D02"/>
    <w:rsid w:val="004F39EE"/>
    <w:rsid w:val="00504FB4"/>
    <w:rsid w:val="0050526A"/>
    <w:rsid w:val="00505EF4"/>
    <w:rsid w:val="005125E9"/>
    <w:rsid w:val="00520A86"/>
    <w:rsid w:val="005238C3"/>
    <w:rsid w:val="00541B64"/>
    <w:rsid w:val="005477F9"/>
    <w:rsid w:val="005524BC"/>
    <w:rsid w:val="005530A6"/>
    <w:rsid w:val="005638EB"/>
    <w:rsid w:val="0057537C"/>
    <w:rsid w:val="00577729"/>
    <w:rsid w:val="00587140"/>
    <w:rsid w:val="005933A2"/>
    <w:rsid w:val="00596A48"/>
    <w:rsid w:val="00596F9A"/>
    <w:rsid w:val="005C4111"/>
    <w:rsid w:val="005E29E0"/>
    <w:rsid w:val="005E635C"/>
    <w:rsid w:val="005F29C6"/>
    <w:rsid w:val="005F4D2E"/>
    <w:rsid w:val="00600CE4"/>
    <w:rsid w:val="00612463"/>
    <w:rsid w:val="00627160"/>
    <w:rsid w:val="006354B6"/>
    <w:rsid w:val="006451B6"/>
    <w:rsid w:val="006549F4"/>
    <w:rsid w:val="00657DAC"/>
    <w:rsid w:val="00661CCB"/>
    <w:rsid w:val="00663145"/>
    <w:rsid w:val="00664E69"/>
    <w:rsid w:val="006752D6"/>
    <w:rsid w:val="00681EC4"/>
    <w:rsid w:val="006A2409"/>
    <w:rsid w:val="006A650F"/>
    <w:rsid w:val="006A7494"/>
    <w:rsid w:val="006C1125"/>
    <w:rsid w:val="006C656D"/>
    <w:rsid w:val="006E6473"/>
    <w:rsid w:val="006F7F69"/>
    <w:rsid w:val="00711BBB"/>
    <w:rsid w:val="00720FAC"/>
    <w:rsid w:val="007223E3"/>
    <w:rsid w:val="00730009"/>
    <w:rsid w:val="00730D1C"/>
    <w:rsid w:val="00746238"/>
    <w:rsid w:val="007600D1"/>
    <w:rsid w:val="00761DF5"/>
    <w:rsid w:val="00764FA7"/>
    <w:rsid w:val="00767313"/>
    <w:rsid w:val="007801B9"/>
    <w:rsid w:val="0078272D"/>
    <w:rsid w:val="00787DC4"/>
    <w:rsid w:val="007A314E"/>
    <w:rsid w:val="007A6F09"/>
    <w:rsid w:val="007B4AC8"/>
    <w:rsid w:val="007B6475"/>
    <w:rsid w:val="007C581F"/>
    <w:rsid w:val="007D440B"/>
    <w:rsid w:val="007D63B5"/>
    <w:rsid w:val="007F0381"/>
    <w:rsid w:val="007F255B"/>
    <w:rsid w:val="008022CC"/>
    <w:rsid w:val="00802EF7"/>
    <w:rsid w:val="00803128"/>
    <w:rsid w:val="0080511D"/>
    <w:rsid w:val="00807564"/>
    <w:rsid w:val="00810B7C"/>
    <w:rsid w:val="008125F7"/>
    <w:rsid w:val="00812C65"/>
    <w:rsid w:val="0081362D"/>
    <w:rsid w:val="00816924"/>
    <w:rsid w:val="00843507"/>
    <w:rsid w:val="00844B40"/>
    <w:rsid w:val="00850D44"/>
    <w:rsid w:val="00857369"/>
    <w:rsid w:val="00862B21"/>
    <w:rsid w:val="00890BC2"/>
    <w:rsid w:val="0089497A"/>
    <w:rsid w:val="008A747C"/>
    <w:rsid w:val="008B25CF"/>
    <w:rsid w:val="008B38C2"/>
    <w:rsid w:val="008B4504"/>
    <w:rsid w:val="008B7669"/>
    <w:rsid w:val="008B78C6"/>
    <w:rsid w:val="008C1686"/>
    <w:rsid w:val="008D0A45"/>
    <w:rsid w:val="008D12DD"/>
    <w:rsid w:val="008D335D"/>
    <w:rsid w:val="008D3B5D"/>
    <w:rsid w:val="008E0904"/>
    <w:rsid w:val="008E2CB8"/>
    <w:rsid w:val="008E6675"/>
    <w:rsid w:val="008F7F62"/>
    <w:rsid w:val="00900E00"/>
    <w:rsid w:val="00925542"/>
    <w:rsid w:val="009331AD"/>
    <w:rsid w:val="009437CA"/>
    <w:rsid w:val="009545AF"/>
    <w:rsid w:val="00983554"/>
    <w:rsid w:val="00993C30"/>
    <w:rsid w:val="009A7B91"/>
    <w:rsid w:val="009B1C7E"/>
    <w:rsid w:val="009B224A"/>
    <w:rsid w:val="009B3506"/>
    <w:rsid w:val="009C0B84"/>
    <w:rsid w:val="009C144E"/>
    <w:rsid w:val="009C2C2D"/>
    <w:rsid w:val="009F46C5"/>
    <w:rsid w:val="009F6DEE"/>
    <w:rsid w:val="00A00CCB"/>
    <w:rsid w:val="00A02565"/>
    <w:rsid w:val="00A0771A"/>
    <w:rsid w:val="00A100DC"/>
    <w:rsid w:val="00A2016B"/>
    <w:rsid w:val="00A21E9E"/>
    <w:rsid w:val="00A27574"/>
    <w:rsid w:val="00A345A9"/>
    <w:rsid w:val="00A43812"/>
    <w:rsid w:val="00A5165D"/>
    <w:rsid w:val="00A530BE"/>
    <w:rsid w:val="00A55F76"/>
    <w:rsid w:val="00A74187"/>
    <w:rsid w:val="00A93AAD"/>
    <w:rsid w:val="00AA511B"/>
    <w:rsid w:val="00AA6B4F"/>
    <w:rsid w:val="00AA762A"/>
    <w:rsid w:val="00AB10BF"/>
    <w:rsid w:val="00AD000B"/>
    <w:rsid w:val="00AE3D4F"/>
    <w:rsid w:val="00AE4C49"/>
    <w:rsid w:val="00B03A61"/>
    <w:rsid w:val="00B31601"/>
    <w:rsid w:val="00B43E8C"/>
    <w:rsid w:val="00B470D6"/>
    <w:rsid w:val="00B47C1E"/>
    <w:rsid w:val="00B574E9"/>
    <w:rsid w:val="00B6570D"/>
    <w:rsid w:val="00B65E96"/>
    <w:rsid w:val="00B7369D"/>
    <w:rsid w:val="00B75CF7"/>
    <w:rsid w:val="00B773B8"/>
    <w:rsid w:val="00B81445"/>
    <w:rsid w:val="00BA41E8"/>
    <w:rsid w:val="00BA6044"/>
    <w:rsid w:val="00BB4A54"/>
    <w:rsid w:val="00BC0033"/>
    <w:rsid w:val="00BC3D19"/>
    <w:rsid w:val="00BC4042"/>
    <w:rsid w:val="00BD2F37"/>
    <w:rsid w:val="00BE3979"/>
    <w:rsid w:val="00BF11AE"/>
    <w:rsid w:val="00BF220A"/>
    <w:rsid w:val="00BF5EA2"/>
    <w:rsid w:val="00BF6DE4"/>
    <w:rsid w:val="00BF79DA"/>
    <w:rsid w:val="00C112A6"/>
    <w:rsid w:val="00C11458"/>
    <w:rsid w:val="00C158AE"/>
    <w:rsid w:val="00C21654"/>
    <w:rsid w:val="00C35BFE"/>
    <w:rsid w:val="00C64202"/>
    <w:rsid w:val="00C676EE"/>
    <w:rsid w:val="00C707FF"/>
    <w:rsid w:val="00C75280"/>
    <w:rsid w:val="00C87DDB"/>
    <w:rsid w:val="00C92C88"/>
    <w:rsid w:val="00C96168"/>
    <w:rsid w:val="00CA421D"/>
    <w:rsid w:val="00CB3980"/>
    <w:rsid w:val="00CB3CA3"/>
    <w:rsid w:val="00CB7E53"/>
    <w:rsid w:val="00CC5D5B"/>
    <w:rsid w:val="00CC7E5F"/>
    <w:rsid w:val="00CD2365"/>
    <w:rsid w:val="00CD3B6E"/>
    <w:rsid w:val="00CE69F3"/>
    <w:rsid w:val="00CE721B"/>
    <w:rsid w:val="00CF07AE"/>
    <w:rsid w:val="00CF56C3"/>
    <w:rsid w:val="00CF5ECC"/>
    <w:rsid w:val="00CF752D"/>
    <w:rsid w:val="00D12A45"/>
    <w:rsid w:val="00D13B08"/>
    <w:rsid w:val="00D14350"/>
    <w:rsid w:val="00D17A6D"/>
    <w:rsid w:val="00D216BD"/>
    <w:rsid w:val="00D21A79"/>
    <w:rsid w:val="00D229A4"/>
    <w:rsid w:val="00D274F5"/>
    <w:rsid w:val="00D31BFB"/>
    <w:rsid w:val="00D33525"/>
    <w:rsid w:val="00D371FF"/>
    <w:rsid w:val="00D376BE"/>
    <w:rsid w:val="00D41422"/>
    <w:rsid w:val="00D41838"/>
    <w:rsid w:val="00D45DE7"/>
    <w:rsid w:val="00D51CAB"/>
    <w:rsid w:val="00D87B96"/>
    <w:rsid w:val="00D9198F"/>
    <w:rsid w:val="00D9586E"/>
    <w:rsid w:val="00D97905"/>
    <w:rsid w:val="00DA04E2"/>
    <w:rsid w:val="00DA4AA6"/>
    <w:rsid w:val="00DB14F4"/>
    <w:rsid w:val="00DB4789"/>
    <w:rsid w:val="00DC0554"/>
    <w:rsid w:val="00DC2DC5"/>
    <w:rsid w:val="00DC4949"/>
    <w:rsid w:val="00DC6CBD"/>
    <w:rsid w:val="00DD5C3F"/>
    <w:rsid w:val="00DE0DAA"/>
    <w:rsid w:val="00DE3137"/>
    <w:rsid w:val="00DF01F8"/>
    <w:rsid w:val="00E03CF2"/>
    <w:rsid w:val="00E1191E"/>
    <w:rsid w:val="00E24E3B"/>
    <w:rsid w:val="00E3458E"/>
    <w:rsid w:val="00E53F75"/>
    <w:rsid w:val="00E54D62"/>
    <w:rsid w:val="00E56B2B"/>
    <w:rsid w:val="00E61C08"/>
    <w:rsid w:val="00E67892"/>
    <w:rsid w:val="00E70425"/>
    <w:rsid w:val="00E753A2"/>
    <w:rsid w:val="00E824F0"/>
    <w:rsid w:val="00E86725"/>
    <w:rsid w:val="00E9243F"/>
    <w:rsid w:val="00E92C57"/>
    <w:rsid w:val="00EA5865"/>
    <w:rsid w:val="00EB1C44"/>
    <w:rsid w:val="00EC0987"/>
    <w:rsid w:val="00EC1C09"/>
    <w:rsid w:val="00ED3D6D"/>
    <w:rsid w:val="00ED4386"/>
    <w:rsid w:val="00ED79AA"/>
    <w:rsid w:val="00EE0D0B"/>
    <w:rsid w:val="00EE1581"/>
    <w:rsid w:val="00EE4054"/>
    <w:rsid w:val="00EE4E56"/>
    <w:rsid w:val="00EE5875"/>
    <w:rsid w:val="00EF5AD7"/>
    <w:rsid w:val="00F000AA"/>
    <w:rsid w:val="00F03312"/>
    <w:rsid w:val="00F233AA"/>
    <w:rsid w:val="00F3597F"/>
    <w:rsid w:val="00F3612E"/>
    <w:rsid w:val="00F435DD"/>
    <w:rsid w:val="00F47823"/>
    <w:rsid w:val="00F6115E"/>
    <w:rsid w:val="00F64982"/>
    <w:rsid w:val="00F66E78"/>
    <w:rsid w:val="00F775B8"/>
    <w:rsid w:val="00F8051C"/>
    <w:rsid w:val="00F814F2"/>
    <w:rsid w:val="00F91167"/>
    <w:rsid w:val="00F91BA2"/>
    <w:rsid w:val="00F93DCB"/>
    <w:rsid w:val="00FA6FC5"/>
    <w:rsid w:val="00FB46A5"/>
    <w:rsid w:val="00FB7D1B"/>
    <w:rsid w:val="00FC2FC7"/>
    <w:rsid w:val="00FD2AE2"/>
    <w:rsid w:val="00FD7DA2"/>
    <w:rsid w:val="00FE6D5F"/>
    <w:rsid w:val="00FF4695"/>
    <w:rsid w:val="00FF51E1"/>
    <w:rsid w:val="00FF73CB"/>
    <w:rsid w:val="0A0B0F6A"/>
    <w:rsid w:val="2CEEE4B0"/>
    <w:rsid w:val="3274F60B"/>
    <w:rsid w:val="32DF2FC7"/>
    <w:rsid w:val="41E30C67"/>
    <w:rsid w:val="4D2DA96D"/>
    <w:rsid w:val="7FF844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CCFB44C1-2ECF-4583-ABDC-0CF6189E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EB1C44"/>
    <w:rPr>
      <w:sz w:val="16"/>
      <w:szCs w:val="16"/>
    </w:rPr>
  </w:style>
  <w:style w:type="paragraph" w:styleId="Kommentartext">
    <w:name w:val="annotation text"/>
    <w:basedOn w:val="Standard"/>
    <w:link w:val="KommentartextZchn"/>
    <w:uiPriority w:val="99"/>
    <w:unhideWhenUsed/>
    <w:rsid w:val="00EB1C44"/>
    <w:rPr>
      <w:sz w:val="20"/>
      <w:szCs w:val="20"/>
    </w:rPr>
  </w:style>
  <w:style w:type="character" w:customStyle="1" w:styleId="KommentartextZchn">
    <w:name w:val="Kommentartext Zchn"/>
    <w:basedOn w:val="Absatz-Standardschriftart"/>
    <w:link w:val="Kommentartext"/>
    <w:uiPriority w:val="99"/>
    <w:rsid w:val="00EB1C44"/>
    <w:rPr>
      <w:sz w:val="20"/>
      <w:szCs w:val="20"/>
    </w:rPr>
  </w:style>
  <w:style w:type="paragraph" w:styleId="Kommentarthema">
    <w:name w:val="annotation subject"/>
    <w:basedOn w:val="Kommentartext"/>
    <w:next w:val="Kommentartext"/>
    <w:link w:val="KommentarthemaZchn"/>
    <w:uiPriority w:val="99"/>
    <w:semiHidden/>
    <w:unhideWhenUsed/>
    <w:rsid w:val="00EB1C44"/>
    <w:rPr>
      <w:b/>
      <w:bCs/>
    </w:rPr>
  </w:style>
  <w:style w:type="character" w:customStyle="1" w:styleId="KommentarthemaZchn">
    <w:name w:val="Kommentarthema Zchn"/>
    <w:basedOn w:val="KommentartextZchn"/>
    <w:link w:val="Kommentarthema"/>
    <w:uiPriority w:val="99"/>
    <w:semiHidden/>
    <w:rsid w:val="00EB1C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3.xml><?xml version="1.0" encoding="utf-8"?>
<ds:datastoreItem xmlns:ds="http://schemas.openxmlformats.org/officeDocument/2006/customXml" ds:itemID="{31F62CFF-F264-4120-8196-E36A7DA8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7437</Characters>
  <Application>Microsoft Office Word</Application>
  <DocSecurity>0</DocSecurity>
  <Lines>135</Lines>
  <Paragraphs>65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8413</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Johanna Röder</cp:lastModifiedBy>
  <cp:revision>68</cp:revision>
  <cp:lastPrinted>2012-10-09T06:17:00Z</cp:lastPrinted>
  <dcterms:created xsi:type="dcterms:W3CDTF">2023-07-05T05:09:00Z</dcterms:created>
  <dcterms:modified xsi:type="dcterms:W3CDTF">2024-10-15T09:23:00Z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