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342848E" w14:textId="77777777">
        <w:tc>
          <w:tcPr>
            <w:tcW w:w="9212" w:type="dxa"/>
          </w:tcPr>
          <w:p w14:paraId="3856C14D" w14:textId="77777777" w:rsidR="008E6675" w:rsidRPr="005638EB" w:rsidRDefault="008E6675" w:rsidP="002005AF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 xml:space="preserve">Haben Sie externe Hilfestellungen </w:t>
            </w:r>
            <w:r w:rsidR="002333FF">
              <w:rPr>
                <w:rFonts w:ascii="Arial Narrow" w:hAnsi="Arial Narrow"/>
                <w:b/>
                <w:sz w:val="22"/>
              </w:rPr>
              <w:t xml:space="preserve">zum Ausfüllen der Formblätter </w:t>
            </w:r>
            <w:r w:rsidRPr="005638EB">
              <w:rPr>
                <w:rFonts w:ascii="Arial Narrow" w:hAnsi="Arial Narrow"/>
                <w:b/>
                <w:sz w:val="22"/>
              </w:rPr>
              <w:t>in Anspruch genommen</w:t>
            </w:r>
            <w:r w:rsidR="002005AF">
              <w:rPr>
                <w:rFonts w:ascii="Arial Narrow" w:hAnsi="Arial Narrow"/>
                <w:b/>
                <w:sz w:val="22"/>
              </w:rPr>
              <w:t>?</w:t>
            </w:r>
            <w:r w:rsidRPr="005638EB">
              <w:rPr>
                <w:rFonts w:ascii="Arial Narrow" w:hAnsi="Arial Narrow"/>
                <w:b/>
                <w:sz w:val="22"/>
              </w:rPr>
              <w:t xml:space="preserve">  Wenn ja, bitte geben Sie an, welche Hilfestellung</w:t>
            </w:r>
            <w:r w:rsidR="002005AF">
              <w:rPr>
                <w:rFonts w:ascii="Arial Narrow" w:hAnsi="Arial Narrow"/>
                <w:b/>
                <w:sz w:val="22"/>
              </w:rPr>
              <w:t xml:space="preserve"> Sie in Anspruch genommen haben</w:t>
            </w:r>
            <w:r w:rsidRPr="005638EB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8E6675" w:rsidRPr="005638EB" w14:paraId="2315EEB9" w14:textId="77777777">
        <w:tc>
          <w:tcPr>
            <w:tcW w:w="9212" w:type="dxa"/>
          </w:tcPr>
          <w:p w14:paraId="59E436C4" w14:textId="33548055" w:rsidR="008E6675" w:rsidRPr="005638EB" w:rsidRDefault="008E6675" w:rsidP="005638EB">
            <w:pPr>
              <w:rPr>
                <w:rFonts w:ascii="Arial Narrow" w:hAnsi="Arial Narrow"/>
              </w:rPr>
            </w:pPr>
          </w:p>
        </w:tc>
      </w:tr>
    </w:tbl>
    <w:p w14:paraId="1B73E9CE" w14:textId="77777777" w:rsidR="008E6675" w:rsidRPr="005638EB" w:rsidRDefault="008E6675" w:rsidP="005638EB">
      <w:pPr>
        <w:rPr>
          <w:rFonts w:ascii="Arial Narrow" w:hAnsi="Arial Narrow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69DF06E3" w14:textId="77777777">
        <w:tc>
          <w:tcPr>
            <w:tcW w:w="9212" w:type="dxa"/>
          </w:tcPr>
          <w:p w14:paraId="48DD38F6" w14:textId="62BF7CF8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Angefragte Untersuchungs- und Beh</w:t>
            </w:r>
            <w:r w:rsidR="002333FF">
              <w:rPr>
                <w:rFonts w:ascii="Arial Narrow" w:hAnsi="Arial Narrow"/>
                <w:b/>
                <w:sz w:val="22"/>
              </w:rPr>
              <w:t>andlungsmethode</w:t>
            </w:r>
          </w:p>
        </w:tc>
      </w:tr>
      <w:tr w:rsidR="008E6675" w:rsidRPr="007F255B" w14:paraId="3534B4A0" w14:textId="77777777">
        <w:tc>
          <w:tcPr>
            <w:tcW w:w="9212" w:type="dxa"/>
          </w:tcPr>
          <w:p w14:paraId="2C182448" w14:textId="24D731E7" w:rsidR="008E6675" w:rsidRPr="007F255B" w:rsidRDefault="00BC4D16" w:rsidP="005638EB">
            <w:pPr>
              <w:rPr>
                <w:rFonts w:ascii="Arial Narrow" w:hAnsi="Arial Narrow"/>
                <w:color w:val="00B050"/>
                <w:sz w:val="22"/>
              </w:rPr>
            </w:pPr>
            <w:r w:rsidRPr="00BC06CF">
              <w:rPr>
                <w:rFonts w:ascii="Arial Narrow" w:hAnsi="Arial Narrow"/>
                <w:sz w:val="22"/>
              </w:rPr>
              <w:t>Humaner Alpha1-Proteinase-Inhibitor</w:t>
            </w:r>
          </w:p>
        </w:tc>
      </w:tr>
    </w:tbl>
    <w:p w14:paraId="42022921" w14:textId="77777777" w:rsidR="008E6675" w:rsidRPr="005638EB" w:rsidRDefault="008E6675" w:rsidP="005638EB">
      <w:pPr>
        <w:rPr>
          <w:rFonts w:ascii="Arial Narrow" w:hAnsi="Arial Narrow"/>
          <w:b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16B6F275" w14:textId="77777777">
        <w:tc>
          <w:tcPr>
            <w:tcW w:w="9212" w:type="dxa"/>
          </w:tcPr>
          <w:p w14:paraId="67F0AA02" w14:textId="4EF70D85" w:rsidR="008E6675" w:rsidRPr="005638EB" w:rsidRDefault="008E6675" w:rsidP="00596F9A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Alternative Bezeichnung(en) der Methode</w:t>
            </w:r>
            <w:r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8E6675" w:rsidRPr="005638EB" w14:paraId="6AA1CD49" w14:textId="77777777">
        <w:tc>
          <w:tcPr>
            <w:tcW w:w="9212" w:type="dxa"/>
          </w:tcPr>
          <w:p w14:paraId="03804348" w14:textId="0FED0741" w:rsidR="008E6675" w:rsidRPr="005638EB" w:rsidRDefault="0078623E" w:rsidP="005638EB">
            <w:pPr>
              <w:rPr>
                <w:rFonts w:ascii="Arial Narrow" w:hAnsi="Arial Narrow"/>
              </w:rPr>
            </w:pPr>
            <w:proofErr w:type="spellStart"/>
            <w:r w:rsidRPr="002704CA">
              <w:rPr>
                <w:rFonts w:ascii="Arial Narrow" w:hAnsi="Arial Narrow"/>
                <w:sz w:val="22"/>
                <w:szCs w:val="22"/>
              </w:rPr>
              <w:t>Respreeza</w:t>
            </w:r>
            <w:proofErr w:type="spellEnd"/>
            <w:r w:rsidRPr="00BC06CF">
              <w:rPr>
                <w:rFonts w:ascii="Arial Narrow" w:hAnsi="Arial Narrow"/>
                <w:sz w:val="22"/>
                <w:szCs w:val="22"/>
                <w:vertAlign w:val="superscript"/>
              </w:rPr>
              <w:t>®</w:t>
            </w:r>
          </w:p>
        </w:tc>
      </w:tr>
    </w:tbl>
    <w:p w14:paraId="5C4D6932" w14:textId="77777777" w:rsidR="004C4F82" w:rsidRDefault="004C4F82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C4F82" w:rsidRPr="004C4F82" w14:paraId="6FC43EE4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0C9" w14:textId="48FE42C0" w:rsidR="004C4F82" w:rsidRPr="004C4F82" w:rsidRDefault="004C4F82" w:rsidP="004C4F82">
            <w:pPr>
              <w:tabs>
                <w:tab w:val="left" w:pos="7465"/>
              </w:tabs>
              <w:rPr>
                <w:rFonts w:ascii="Arial Narrow" w:hAnsi="Arial Narrow"/>
                <w:b/>
                <w:sz w:val="22"/>
              </w:rPr>
            </w:pPr>
            <w:r w:rsidRPr="004C4F82">
              <w:rPr>
                <w:rFonts w:ascii="Arial Narrow" w:hAnsi="Arial Narrow"/>
                <w:b/>
                <w:sz w:val="22"/>
              </w:rPr>
              <w:t>Beruht die neue Untersuchungs- und Behandlungsmethode vollständig oder in Teilen auf dem Ei</w:t>
            </w:r>
            <w:r>
              <w:rPr>
                <w:rFonts w:ascii="Arial Narrow" w:hAnsi="Arial Narrow"/>
                <w:b/>
                <w:sz w:val="22"/>
              </w:rPr>
              <w:t>nsatz eines Medizinproduktes?</w:t>
            </w:r>
            <w:r w:rsidRPr="004C4F82"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4C4F82" w:rsidRPr="005638EB" w14:paraId="049FBCCE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2A39" w14:textId="72640C0B" w:rsidR="004C4F82" w:rsidRPr="004C4F82" w:rsidRDefault="006C656D" w:rsidP="008B7669">
            <w:pPr>
              <w:rPr>
                <w:rFonts w:ascii="Arial Narrow" w:hAnsi="Arial Narrow"/>
                <w:color w:val="00B050"/>
                <w:sz w:val="22"/>
              </w:rPr>
            </w:pPr>
            <w:r>
              <w:rPr>
                <w:rFonts w:ascii="Arial Narrow" w:hAnsi="Arial Narrow"/>
                <w:color w:val="00B050"/>
                <w:sz w:val="22"/>
              </w:rPr>
              <w:t xml:space="preserve"> </w:t>
            </w:r>
            <w:r w:rsidR="00D368D0" w:rsidRPr="008B7669">
              <w:rPr>
                <w:rFonts w:ascii="Arial Narrow" w:hAnsi="Arial Narrow"/>
                <w:sz w:val="22"/>
              </w:rPr>
              <w:t>[</w:t>
            </w:r>
            <w:r w:rsidR="00D368D0" w:rsidRPr="0036178C">
              <w:rPr>
                <w:rFonts w:ascii="Arial Narrow" w:hAnsi="Arial Narrow"/>
                <w:sz w:val="22"/>
                <w:highlight w:val="yellow"/>
              </w:rPr>
              <w:t>nein ankreuzen</w:t>
            </w:r>
            <w:r w:rsidR="00D368D0" w:rsidRPr="008B7669">
              <w:rPr>
                <w:rFonts w:ascii="Arial Narrow" w:hAnsi="Arial Narrow"/>
                <w:sz w:val="22"/>
              </w:rPr>
              <w:t>]</w:t>
            </w:r>
          </w:p>
        </w:tc>
      </w:tr>
    </w:tbl>
    <w:p w14:paraId="7F1AD41E" w14:textId="77777777" w:rsidR="008E6675" w:rsidRDefault="008E6675" w:rsidP="005638EB">
      <w:pPr>
        <w:rPr>
          <w:rFonts w:ascii="Arial Narrow" w:hAnsi="Arial Narrow"/>
          <w:sz w:val="22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92AB4" w:rsidRPr="005638EB" w14:paraId="5055E8B5" w14:textId="77777777" w:rsidTr="00C0086C">
        <w:tc>
          <w:tcPr>
            <w:tcW w:w="9212" w:type="dxa"/>
          </w:tcPr>
          <w:p w14:paraId="43488653" w14:textId="679C634B" w:rsidR="00492AB4" w:rsidRPr="005638EB" w:rsidRDefault="00492AB4" w:rsidP="006354B6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Wurde für diese angefrag</w:t>
            </w:r>
            <w:r w:rsidR="00DC6CBD">
              <w:rPr>
                <w:rFonts w:ascii="Arial Narrow" w:hAnsi="Arial Narrow"/>
                <w:b/>
                <w:sz w:val="22"/>
              </w:rPr>
              <w:t>te Untersuchungs- und Behandlungsmethode von Ihrem Kranke</w:t>
            </w:r>
            <w:r w:rsidR="00DB14F4">
              <w:rPr>
                <w:rFonts w:ascii="Arial Narrow" w:hAnsi="Arial Narrow"/>
                <w:b/>
                <w:sz w:val="22"/>
              </w:rPr>
              <w:t>nhaus bereits vor dem 01.01.202</w:t>
            </w:r>
            <w:r w:rsidR="00EE0D0B">
              <w:rPr>
                <w:rFonts w:ascii="Arial Narrow" w:hAnsi="Arial Narrow"/>
                <w:b/>
                <w:sz w:val="22"/>
              </w:rPr>
              <w:t>3</w:t>
            </w:r>
            <w:r w:rsidR="00DC6CBD">
              <w:rPr>
                <w:rFonts w:ascii="Arial Narrow" w:hAnsi="Arial Narrow"/>
                <w:b/>
                <w:sz w:val="22"/>
              </w:rPr>
              <w:t xml:space="preserve"> eine Anfrage gemäß §6 Abs. 2 </w:t>
            </w:r>
            <w:proofErr w:type="spellStart"/>
            <w:r w:rsidR="00DC6CBD">
              <w:rPr>
                <w:rFonts w:ascii="Arial Narrow" w:hAnsi="Arial Narrow"/>
                <w:b/>
                <w:sz w:val="22"/>
              </w:rPr>
              <w:t>KHEntG</w:t>
            </w:r>
            <w:proofErr w:type="spellEnd"/>
            <w:r w:rsidR="00DC6CBD">
              <w:rPr>
                <w:rFonts w:ascii="Arial Narrow" w:hAnsi="Arial Narrow"/>
                <w:b/>
                <w:sz w:val="22"/>
              </w:rPr>
              <w:t xml:space="preserve"> an das </w:t>
            </w:r>
            <w:proofErr w:type="spellStart"/>
            <w:r w:rsidR="00DC6CBD">
              <w:rPr>
                <w:rFonts w:ascii="Arial Narrow" w:hAnsi="Arial Narrow"/>
                <w:b/>
                <w:sz w:val="22"/>
              </w:rPr>
              <w:t>InEK</w:t>
            </w:r>
            <w:proofErr w:type="spellEnd"/>
            <w:r w:rsidR="00DC6CBD">
              <w:rPr>
                <w:rFonts w:ascii="Arial Narrow" w:hAnsi="Arial Narrow"/>
                <w:b/>
                <w:sz w:val="22"/>
              </w:rPr>
              <w:t xml:space="preserve"> übermittelt</w:t>
            </w:r>
            <w:r w:rsidR="002333FF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C0086C" w:rsidRPr="005638EB" w14:paraId="3F239A32" w14:textId="77777777" w:rsidTr="00C0086C">
        <w:tc>
          <w:tcPr>
            <w:tcW w:w="9212" w:type="dxa"/>
          </w:tcPr>
          <w:p w14:paraId="7DD0679B" w14:textId="69A4ECE6" w:rsidR="00C0086C" w:rsidRPr="005638EB" w:rsidRDefault="00C0086C" w:rsidP="00C008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highlight w:val="yellow"/>
              </w:rPr>
              <w:t>[</w:t>
            </w:r>
            <w:r w:rsidRPr="00DC6CBD">
              <w:rPr>
                <w:rFonts w:ascii="Arial Narrow" w:hAnsi="Arial Narrow"/>
                <w:sz w:val="22"/>
                <w:highlight w:val="yellow"/>
              </w:rPr>
              <w:t>Ja/nein</w:t>
            </w:r>
            <w:r w:rsidRPr="00ED79AA">
              <w:rPr>
                <w:rFonts w:ascii="Arial Narrow" w:hAnsi="Arial Narrow"/>
                <w:sz w:val="22"/>
                <w:highlight w:val="yellow"/>
              </w:rPr>
              <w:t xml:space="preserve"> ankreuzen. Bei </w:t>
            </w:r>
            <w:proofErr w:type="gramStart"/>
            <w:r w:rsidRPr="00ED79AA">
              <w:rPr>
                <w:rFonts w:ascii="Arial Narrow" w:hAnsi="Arial Narrow"/>
                <w:sz w:val="22"/>
                <w:highlight w:val="yellow"/>
              </w:rPr>
              <w:t>ja Nummer</w:t>
            </w:r>
            <w:proofErr w:type="gramEnd"/>
            <w:r w:rsidRPr="00ED79AA">
              <w:rPr>
                <w:rFonts w:ascii="Arial Narrow" w:hAnsi="Arial Narrow"/>
                <w:sz w:val="22"/>
                <w:highlight w:val="yellow"/>
              </w:rPr>
              <w:t xml:space="preserve"> aus Liste auswählen]</w:t>
            </w:r>
          </w:p>
        </w:tc>
      </w:tr>
    </w:tbl>
    <w:p w14:paraId="53DF57CA" w14:textId="77777777" w:rsidR="00492AB4" w:rsidRPr="005638EB" w:rsidRDefault="00492AB4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823808B" w14:textId="77777777">
        <w:tc>
          <w:tcPr>
            <w:tcW w:w="9212" w:type="dxa"/>
          </w:tcPr>
          <w:p w14:paraId="3A37C23D" w14:textId="6AFD43C7" w:rsidR="008E6675" w:rsidRPr="00303E4D" w:rsidRDefault="008E6675" w:rsidP="005638EB">
            <w:pPr>
              <w:rPr>
                <w:rFonts w:ascii="Arial Narrow" w:hAnsi="Arial Narrow"/>
                <w:b/>
                <w:iCs/>
              </w:rPr>
            </w:pPr>
            <w:r w:rsidRPr="00303E4D">
              <w:rPr>
                <w:rFonts w:ascii="Arial Narrow" w:hAnsi="Arial Narrow"/>
                <w:b/>
                <w:iCs/>
                <w:sz w:val="22"/>
              </w:rPr>
              <w:t>Beschreibung der neuen Methode</w:t>
            </w:r>
          </w:p>
        </w:tc>
      </w:tr>
      <w:tr w:rsidR="008E6675" w:rsidRPr="005638EB" w14:paraId="5696BA9D" w14:textId="77777777">
        <w:tc>
          <w:tcPr>
            <w:tcW w:w="9212" w:type="dxa"/>
          </w:tcPr>
          <w:p w14:paraId="4CD8E17C" w14:textId="77777777" w:rsidR="007B7E60" w:rsidRPr="00303E4D" w:rsidRDefault="00A82047" w:rsidP="0078272D">
            <w:pPr>
              <w:rPr>
                <w:rFonts w:ascii="Arial Narrow" w:hAnsi="Arial Narrow"/>
                <w:b/>
                <w:bCs/>
                <w:iCs/>
                <w:sz w:val="22"/>
                <w:szCs w:val="22"/>
                <w:lang w:val="de-CH"/>
              </w:rPr>
            </w:pPr>
            <w:r w:rsidRPr="00303E4D">
              <w:rPr>
                <w:rFonts w:ascii="Arial Narrow" w:hAnsi="Arial Narrow"/>
                <w:b/>
                <w:bCs/>
                <w:iCs/>
                <w:sz w:val="22"/>
                <w:szCs w:val="22"/>
                <w:lang w:val="de-CH"/>
              </w:rPr>
              <w:t>Wirkweise:</w:t>
            </w:r>
          </w:p>
          <w:p w14:paraId="5590CB12" w14:textId="4861471F" w:rsidR="00A82047" w:rsidRPr="00303E4D" w:rsidRDefault="007819CF" w:rsidP="003B2AE7">
            <w:pPr>
              <w:rPr>
                <w:rFonts w:ascii="Arial Narrow" w:hAnsi="Arial Narrow"/>
                <w:iCs/>
                <w:sz w:val="22"/>
                <w:szCs w:val="22"/>
                <w:lang w:val="de-CH"/>
              </w:rPr>
            </w:pPr>
            <w:r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Humaner </w:t>
            </w:r>
            <w:r w:rsidR="00097DF5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Alpha1-Proteinase-Inhibitor </w:t>
            </w:r>
            <w:r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>(</w:t>
            </w:r>
            <w:r w:rsidR="00A82047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>Alpha-1-Antitrypsin</w:t>
            </w:r>
            <w:r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, </w:t>
            </w:r>
            <w:r w:rsidR="00A82047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>AAT) ist ein natürlich vorkommende</w:t>
            </w:r>
            <w:r w:rsidR="00B76CBB">
              <w:rPr>
                <w:rFonts w:ascii="Arial Narrow" w:hAnsi="Arial Narrow"/>
                <w:iCs/>
                <w:sz w:val="22"/>
                <w:szCs w:val="22"/>
                <w:lang w:val="de-CH"/>
              </w:rPr>
              <w:t>s</w:t>
            </w:r>
            <w:r w:rsidR="00A82047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 </w:t>
            </w:r>
            <w:r w:rsidR="00145D2A">
              <w:rPr>
                <w:rFonts w:ascii="Arial Narrow" w:hAnsi="Arial Narrow"/>
                <w:iCs/>
                <w:sz w:val="22"/>
                <w:szCs w:val="22"/>
                <w:lang w:val="de-CH"/>
              </w:rPr>
              <w:t>Protein</w:t>
            </w:r>
            <w:r w:rsidR="00A82047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>, d</w:t>
            </w:r>
            <w:r w:rsidR="00B76CBB">
              <w:rPr>
                <w:rFonts w:ascii="Arial Narrow" w:hAnsi="Arial Narrow"/>
                <w:iCs/>
                <w:sz w:val="22"/>
                <w:szCs w:val="22"/>
                <w:lang w:val="de-CH"/>
              </w:rPr>
              <w:t>as</w:t>
            </w:r>
            <w:r w:rsidR="00A82047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 </w:t>
            </w:r>
            <w:r w:rsidR="00B76CBB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körpereigenes </w:t>
            </w:r>
            <w:r w:rsidR="00A82047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Gewebe vor Abbau schützt. </w:t>
            </w:r>
            <w:r w:rsidR="006B15BE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AAT ist für die </w:t>
            </w:r>
            <w:r w:rsidR="00B76CBB">
              <w:rPr>
                <w:rFonts w:ascii="Arial Narrow" w:hAnsi="Arial Narrow"/>
                <w:iCs/>
                <w:sz w:val="22"/>
                <w:szCs w:val="22"/>
                <w:lang w:val="de-CH"/>
              </w:rPr>
              <w:t>T</w:t>
            </w:r>
            <w:r w:rsidR="006B15BE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herapie bei Erwachsenen mit schwerem </w:t>
            </w:r>
            <w:r w:rsidR="00B76CBB">
              <w:rPr>
                <w:rFonts w:ascii="Arial Narrow" w:hAnsi="Arial Narrow"/>
                <w:iCs/>
                <w:sz w:val="22"/>
                <w:szCs w:val="22"/>
                <w:lang w:val="de-CH"/>
              </w:rPr>
              <w:t>angeborene</w:t>
            </w:r>
            <w:r w:rsidR="00EA25AF">
              <w:rPr>
                <w:rFonts w:ascii="Arial Narrow" w:hAnsi="Arial Narrow"/>
                <w:iCs/>
                <w:sz w:val="22"/>
                <w:szCs w:val="22"/>
                <w:lang w:val="de-CH"/>
              </w:rPr>
              <w:t>m</w:t>
            </w:r>
            <w:r w:rsidR="00B76CBB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 </w:t>
            </w:r>
            <w:r w:rsidR="006B15BE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AAT-Mangel und </w:t>
            </w:r>
            <w:r w:rsidR="003B2AE7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Anzeichen einer </w:t>
            </w:r>
            <w:r w:rsidR="00B76CBB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fortschreitenden </w:t>
            </w:r>
            <w:r w:rsidR="003B2AE7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Lungenerkrankung </w:t>
            </w:r>
            <w:r w:rsidR="006B15BE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zugelassen. </w:t>
            </w:r>
            <w:r w:rsidR="00A82047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Es gibt immer mehr Belege dafür, dass AAT auch </w:t>
            </w:r>
            <w:r w:rsidR="00B76CBB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andere </w:t>
            </w:r>
            <w:r w:rsidR="00A82047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>entzündungshemmende und gewebeschützende Wirkungen entfaltet</w:t>
            </w:r>
            <w:r w:rsidR="00145D2A">
              <w:rPr>
                <w:rFonts w:ascii="Arial Narrow" w:hAnsi="Arial Narrow"/>
                <w:iCs/>
                <w:sz w:val="22"/>
                <w:szCs w:val="22"/>
                <w:lang w:val="de-CH"/>
              </w:rPr>
              <w:t>, ohne dabei zelltoxische Effekte aufzuweisen</w:t>
            </w:r>
            <w:r w:rsidR="00A82047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>.</w:t>
            </w:r>
            <w:r w:rsidR="00D352B1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 </w:t>
            </w:r>
            <w:r w:rsidR="00A82047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>Studien deuten darauf hin, dass</w:t>
            </w:r>
            <w:r w:rsidR="004F5C2F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 </w:t>
            </w:r>
            <w:r w:rsidR="00B76CBB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entzündungsfördernde Botenstoffe </w:t>
            </w:r>
            <w:r w:rsidR="00A82047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eine Schlüsselrolle bei der </w:t>
            </w:r>
            <w:r w:rsidR="00B76CBB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Entwicklung </w:t>
            </w:r>
            <w:r w:rsidR="00A82047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>der</w:t>
            </w:r>
            <w:r w:rsidR="003B2AE7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 Graft-versus-Host-Erkrankung</w:t>
            </w:r>
            <w:r w:rsidR="00A82047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 </w:t>
            </w:r>
            <w:r w:rsidR="003B2AE7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>(</w:t>
            </w:r>
            <w:r w:rsidR="00A82047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>G</w:t>
            </w:r>
            <w:r w:rsidR="00FA0BB0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>v</w:t>
            </w:r>
            <w:r w:rsidR="00A82047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>HD</w:t>
            </w:r>
            <w:r w:rsidR="003B2AE7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>)</w:t>
            </w:r>
            <w:r w:rsidR="00A82047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 spielen</w:t>
            </w:r>
            <w:r w:rsidR="00145D2A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 und </w:t>
            </w:r>
            <w:r w:rsidR="00FD23AC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die Gabe von </w:t>
            </w:r>
            <w:r w:rsidR="00145D2A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AAT einen positiven Effekt </w:t>
            </w:r>
            <w:r w:rsidR="00465E59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bei der Behandlung der GvHD </w:t>
            </w:r>
            <w:r w:rsidR="00145D2A">
              <w:rPr>
                <w:rFonts w:ascii="Arial Narrow" w:hAnsi="Arial Narrow"/>
                <w:iCs/>
                <w:sz w:val="22"/>
                <w:szCs w:val="22"/>
                <w:lang w:val="de-CH"/>
              </w:rPr>
              <w:t>haben könnte</w:t>
            </w:r>
            <w:r w:rsidR="00A82047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. </w:t>
            </w:r>
          </w:p>
          <w:p w14:paraId="4AC69B00" w14:textId="77777777" w:rsidR="00827E70" w:rsidRPr="00303E4D" w:rsidRDefault="00827E70" w:rsidP="0078272D">
            <w:pPr>
              <w:rPr>
                <w:rFonts w:ascii="Arial Narrow" w:hAnsi="Arial Narrow"/>
                <w:iCs/>
                <w:sz w:val="22"/>
                <w:szCs w:val="22"/>
                <w:lang w:val="de-CH"/>
              </w:rPr>
            </w:pPr>
          </w:p>
          <w:p w14:paraId="4B10C7C2" w14:textId="77777777" w:rsidR="00827E70" w:rsidRPr="00303E4D" w:rsidRDefault="00827E70" w:rsidP="0078272D">
            <w:pPr>
              <w:rPr>
                <w:rFonts w:ascii="Arial Narrow" w:hAnsi="Arial Narrow"/>
                <w:b/>
                <w:bCs/>
                <w:iCs/>
                <w:sz w:val="22"/>
                <w:szCs w:val="22"/>
                <w:lang w:val="de-CH"/>
              </w:rPr>
            </w:pPr>
            <w:r w:rsidRPr="00303E4D">
              <w:rPr>
                <w:rFonts w:ascii="Arial Narrow" w:hAnsi="Arial Narrow"/>
                <w:b/>
                <w:bCs/>
                <w:iCs/>
                <w:sz w:val="22"/>
                <w:szCs w:val="22"/>
                <w:lang w:val="de-CH"/>
              </w:rPr>
              <w:t>Evidenzlage:</w:t>
            </w:r>
          </w:p>
          <w:p w14:paraId="0754A59F" w14:textId="3A20E789" w:rsidR="00827E70" w:rsidRPr="00303E4D" w:rsidRDefault="00827E70" w:rsidP="0078272D">
            <w:pPr>
              <w:rPr>
                <w:rFonts w:ascii="Arial Narrow" w:hAnsi="Arial Narrow"/>
                <w:iCs/>
                <w:sz w:val="22"/>
                <w:szCs w:val="22"/>
                <w:lang w:val="de-CH"/>
              </w:rPr>
            </w:pPr>
            <w:proofErr w:type="spellStart"/>
            <w:r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>Respreeza</w:t>
            </w:r>
            <w:proofErr w:type="spellEnd"/>
            <w:r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 wurde </w:t>
            </w:r>
            <w:r w:rsidR="009118A6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in </w:t>
            </w:r>
            <w:r w:rsidR="00B7171E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einer </w:t>
            </w:r>
            <w:r w:rsidR="00E45B52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Phase-2-Studie </w:t>
            </w:r>
            <w:r w:rsidR="00863FEA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>mit steroidrefraktärer akuter G</w:t>
            </w:r>
            <w:r w:rsidR="00806656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>v</w:t>
            </w:r>
            <w:r w:rsidR="00863FEA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HD </w:t>
            </w:r>
            <w:r w:rsidR="00EA25AF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(aGvHD) </w:t>
            </w:r>
            <w:r w:rsidR="00E45B52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>geprüft</w:t>
            </w:r>
            <w:r w:rsidR="00863FEA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>. Die Gesamtansprechrate und die Rate des vollständigen Ansprechens bis zum 28. Tag lag bei 65 % bzw. 35 % und umfasste das Ansprechen in allen G</w:t>
            </w:r>
            <w:r w:rsidR="00806656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>v</w:t>
            </w:r>
            <w:r w:rsidR="00863FEA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>HD-Zielorganen. Am Tag 60 war das Ansprechen bei 73 % der Patienten ohne weitere Immunsuppression anhaltend.</w:t>
            </w:r>
            <w:r w:rsidR="005E7E0F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 Aufgrund dieser Studie wurde die Gabe von AAT bei </w:t>
            </w:r>
            <w:r w:rsidR="004421AC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steroidrefraktärer akuter GvHD bereits in die </w:t>
            </w:r>
            <w:r w:rsidR="00145D2A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aktuellen </w:t>
            </w:r>
            <w:r w:rsidR="004421AC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DGHO-Leitlinien als </w:t>
            </w:r>
            <w:r w:rsidR="00145D2A">
              <w:rPr>
                <w:rFonts w:ascii="Arial Narrow" w:hAnsi="Arial Narrow"/>
                <w:iCs/>
                <w:sz w:val="22"/>
                <w:szCs w:val="22"/>
                <w:lang w:val="de-CH"/>
              </w:rPr>
              <w:t>Dritt</w:t>
            </w:r>
            <w:r w:rsidR="00145D2A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linientherapie </w:t>
            </w:r>
            <w:r w:rsidR="004421AC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>aufgenommen.</w:t>
            </w:r>
          </w:p>
          <w:p w14:paraId="4D1AE7BE" w14:textId="77777777" w:rsidR="000E2F65" w:rsidRPr="00303E4D" w:rsidRDefault="000E2F65" w:rsidP="0078272D">
            <w:pPr>
              <w:rPr>
                <w:rFonts w:ascii="Arial Narrow" w:hAnsi="Arial Narrow"/>
                <w:iCs/>
                <w:sz w:val="22"/>
                <w:szCs w:val="22"/>
                <w:lang w:val="de-CH"/>
              </w:rPr>
            </w:pPr>
          </w:p>
          <w:p w14:paraId="2F01DAF5" w14:textId="02CFBEB2" w:rsidR="00704238" w:rsidRPr="00303E4D" w:rsidRDefault="00704238" w:rsidP="0078272D">
            <w:pPr>
              <w:rPr>
                <w:rFonts w:ascii="Arial Narrow" w:hAnsi="Arial Narrow"/>
                <w:iCs/>
                <w:sz w:val="22"/>
                <w:szCs w:val="22"/>
                <w:lang w:val="de-CH"/>
              </w:rPr>
            </w:pPr>
            <w:r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Darüber hinaus </w:t>
            </w:r>
            <w:r w:rsidR="0041649C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wurde </w:t>
            </w:r>
            <w:proofErr w:type="spellStart"/>
            <w:r w:rsidR="000E2F65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>Re</w:t>
            </w:r>
            <w:r w:rsidR="0041649C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>spreeza</w:t>
            </w:r>
            <w:proofErr w:type="spellEnd"/>
            <w:r w:rsidR="0041649C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 in einer Phase-3-Studie geprüft. </w:t>
            </w:r>
            <w:r w:rsidR="00515C16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>Der primäre Endpunkt war die Overall Response Rate (ORR) zu Tag 28.</w:t>
            </w:r>
            <w:r w:rsidR="00A22CD2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 </w:t>
            </w:r>
            <w:r w:rsidR="000133EB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>Studienabschluss war im Juni 2024</w:t>
            </w:r>
            <w:r w:rsidR="00D87B48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. </w:t>
            </w:r>
            <w:r w:rsidR="00A22CD2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Die </w:t>
            </w:r>
            <w:r w:rsidR="00C54327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Resultate </w:t>
            </w:r>
            <w:r w:rsidR="00DB332E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sind </w:t>
            </w:r>
            <w:r w:rsidR="00C54327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noch nicht veröffentlicht. </w:t>
            </w:r>
          </w:p>
          <w:p w14:paraId="0F4CA6E8" w14:textId="77777777" w:rsidR="00C54327" w:rsidRPr="00303E4D" w:rsidRDefault="00C54327" w:rsidP="0078272D">
            <w:pPr>
              <w:rPr>
                <w:rFonts w:ascii="Arial Narrow" w:hAnsi="Arial Narrow"/>
                <w:iCs/>
                <w:sz w:val="22"/>
                <w:szCs w:val="22"/>
                <w:lang w:val="de-CH"/>
              </w:rPr>
            </w:pPr>
          </w:p>
          <w:p w14:paraId="7E608C05" w14:textId="4FB79CF6" w:rsidR="00C54327" w:rsidRPr="00303E4D" w:rsidRDefault="00C54327" w:rsidP="0078272D">
            <w:pPr>
              <w:rPr>
                <w:rFonts w:ascii="Arial Narrow" w:hAnsi="Arial Narrow"/>
                <w:b/>
                <w:bCs/>
                <w:iCs/>
                <w:sz w:val="22"/>
                <w:szCs w:val="22"/>
                <w:lang w:val="de-CH"/>
              </w:rPr>
            </w:pPr>
            <w:r w:rsidRPr="00303E4D">
              <w:rPr>
                <w:rFonts w:ascii="Arial Narrow" w:hAnsi="Arial Narrow"/>
                <w:b/>
                <w:bCs/>
                <w:iCs/>
                <w:sz w:val="22"/>
                <w:szCs w:val="22"/>
                <w:lang w:val="de-CH"/>
              </w:rPr>
              <w:t>Dosis:</w:t>
            </w:r>
          </w:p>
          <w:p w14:paraId="0AF79188" w14:textId="04B48A00" w:rsidR="00863FEA" w:rsidRPr="00BC06CF" w:rsidRDefault="005B34A4" w:rsidP="004421AC">
            <w:pPr>
              <w:rPr>
                <w:rFonts w:ascii="Arial Narrow" w:hAnsi="Arial Narrow"/>
                <w:iCs/>
                <w:color w:val="C2D69B" w:themeColor="accent3" w:themeTint="99"/>
                <w:sz w:val="22"/>
                <w:szCs w:val="22"/>
                <w:lang w:val="de-CH"/>
              </w:rPr>
            </w:pPr>
            <w:r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Eine Dosis entspricht </w:t>
            </w:r>
            <w:r w:rsidR="00B43F6B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>120</w:t>
            </w:r>
            <w:r w:rsidR="00CE151C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 </w:t>
            </w:r>
            <w:r w:rsidR="00B43F6B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>mg/kg Körpergewicht</w:t>
            </w:r>
            <w:r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>. Gabe:</w:t>
            </w:r>
            <w:r w:rsidR="00B43F6B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 zweimal pro Woche für 4 Wochen</w:t>
            </w:r>
            <w:r w:rsidR="00EC5D99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, im Falle einer Response weitere </w:t>
            </w:r>
            <w:r w:rsidR="00692208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 xml:space="preserve">4 Gaben </w:t>
            </w:r>
            <w:r w:rsidR="00EC5D99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>einmal pro Woche</w:t>
            </w:r>
            <w:r w:rsidR="004421AC" w:rsidRPr="00303E4D">
              <w:rPr>
                <w:rFonts w:ascii="Arial Narrow" w:hAnsi="Arial Narrow"/>
                <w:iCs/>
                <w:sz w:val="22"/>
                <w:szCs w:val="22"/>
                <w:lang w:val="de-CH"/>
              </w:rPr>
              <w:t>.</w:t>
            </w:r>
          </w:p>
        </w:tc>
      </w:tr>
    </w:tbl>
    <w:p w14:paraId="0A7E8285" w14:textId="77777777" w:rsidR="00584AEF" w:rsidRPr="005638EB" w:rsidRDefault="00584AEF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3F33158" w14:textId="77777777">
        <w:tc>
          <w:tcPr>
            <w:tcW w:w="9212" w:type="dxa"/>
          </w:tcPr>
          <w:p w14:paraId="684681EC" w14:textId="7F246CCE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Mit welchem OPS wird die Methode verschlüsselt?</w:t>
            </w:r>
          </w:p>
        </w:tc>
      </w:tr>
      <w:tr w:rsidR="008E6675" w:rsidRPr="006354B6" w14:paraId="5C95386E" w14:textId="77777777">
        <w:tc>
          <w:tcPr>
            <w:tcW w:w="9212" w:type="dxa"/>
          </w:tcPr>
          <w:p w14:paraId="276EB151" w14:textId="24315797" w:rsidR="00CC7E5F" w:rsidRPr="006354B6" w:rsidRDefault="009A0353" w:rsidP="00435583">
            <w:pPr>
              <w:rPr>
                <w:rFonts w:ascii="Arial Narrow" w:hAnsi="Arial Narrow"/>
                <w:sz w:val="22"/>
              </w:rPr>
            </w:pPr>
            <w:r w:rsidRPr="009A0353">
              <w:rPr>
                <w:rFonts w:ascii="Arial Narrow" w:hAnsi="Arial Narrow"/>
                <w:sz w:val="22"/>
              </w:rPr>
              <w:t>8-812.00 bis 8-812.0q</w:t>
            </w:r>
          </w:p>
        </w:tc>
      </w:tr>
    </w:tbl>
    <w:p w14:paraId="63A2C327" w14:textId="77777777" w:rsidR="00DC6CBD" w:rsidRPr="006354B6" w:rsidRDefault="00DC6CBD" w:rsidP="00EE0D0B">
      <w:pPr>
        <w:jc w:val="center"/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C4F82" w:rsidRPr="005638EB" w14:paraId="1C363EAC" w14:textId="77777777" w:rsidTr="0036178C">
        <w:tc>
          <w:tcPr>
            <w:tcW w:w="9212" w:type="dxa"/>
          </w:tcPr>
          <w:p w14:paraId="76259E49" w14:textId="0E1E9B3E" w:rsidR="004C4F82" w:rsidRPr="005638EB" w:rsidRDefault="002333FF" w:rsidP="0036178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lastRenderedPageBreak/>
              <w:t>Anmerkungen zu den Proz</w:t>
            </w:r>
            <w:r w:rsidR="004C4F82" w:rsidRPr="004C4F82">
              <w:rPr>
                <w:rFonts w:ascii="Arial Narrow" w:hAnsi="Arial Narrow"/>
                <w:b/>
                <w:sz w:val="22"/>
              </w:rPr>
              <w:t>eduren</w:t>
            </w:r>
          </w:p>
        </w:tc>
      </w:tr>
      <w:tr w:rsidR="004C4F82" w:rsidRPr="007F255B" w14:paraId="131FE40C" w14:textId="77777777" w:rsidTr="0036178C">
        <w:tc>
          <w:tcPr>
            <w:tcW w:w="9212" w:type="dxa"/>
          </w:tcPr>
          <w:p w14:paraId="46724946" w14:textId="77777777" w:rsidR="00876B7E" w:rsidRPr="00876B7E" w:rsidRDefault="00876B7E" w:rsidP="00876B7E">
            <w:pPr>
              <w:rPr>
                <w:rFonts w:ascii="Arial Narrow" w:hAnsi="Arial Narrow"/>
                <w:sz w:val="22"/>
                <w:szCs w:val="22"/>
              </w:rPr>
            </w:pPr>
            <w:r w:rsidRPr="00876B7E">
              <w:rPr>
                <w:rFonts w:ascii="Arial Narrow" w:hAnsi="Arial Narrow"/>
                <w:sz w:val="22"/>
                <w:szCs w:val="22"/>
              </w:rPr>
              <w:t>Der dosisgestaffelte OPS-Kode bildet derzeit (Stand 2024) Dosierungen zwischen 600 mg und 39.600 mg ab.</w:t>
            </w:r>
          </w:p>
          <w:p w14:paraId="2971DFDE" w14:textId="77777777" w:rsidR="00876B7E" w:rsidRPr="00876B7E" w:rsidRDefault="00876B7E" w:rsidP="00876B7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8201DB1" w14:textId="10A60E89" w:rsidR="004C4F82" w:rsidRPr="00435583" w:rsidRDefault="00876B7E" w:rsidP="00876B7E">
            <w:pPr>
              <w:rPr>
                <w:rFonts w:ascii="Arial Narrow" w:hAnsi="Arial Narrow"/>
                <w:sz w:val="22"/>
                <w:szCs w:val="22"/>
              </w:rPr>
            </w:pPr>
            <w:r w:rsidRPr="00876B7E">
              <w:rPr>
                <w:rFonts w:ascii="Arial Narrow" w:hAnsi="Arial Narrow"/>
                <w:sz w:val="22"/>
                <w:szCs w:val="22"/>
              </w:rPr>
              <w:t>Zur Behandlung der aGvHD (geplante Indikationserweiterung) werden deutlich höhere Dosen (2- bis 4-fache Menge) benötigt.</w:t>
            </w:r>
          </w:p>
        </w:tc>
      </w:tr>
    </w:tbl>
    <w:p w14:paraId="497C648B" w14:textId="77777777" w:rsidR="004C4F82" w:rsidRPr="005638EB" w:rsidRDefault="004C4F82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1C579B85" w14:textId="77777777">
        <w:tc>
          <w:tcPr>
            <w:tcW w:w="9212" w:type="dxa"/>
          </w:tcPr>
          <w:p w14:paraId="442A0D93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Bei welchen Patienten wird die Methode angewandt (Indikation)?</w:t>
            </w:r>
          </w:p>
        </w:tc>
      </w:tr>
      <w:tr w:rsidR="008E6675" w:rsidRPr="007F255B" w14:paraId="158F0243" w14:textId="77777777">
        <w:tc>
          <w:tcPr>
            <w:tcW w:w="9212" w:type="dxa"/>
          </w:tcPr>
          <w:p w14:paraId="542AE9EB" w14:textId="4E4A3CB6" w:rsidR="00076EE2" w:rsidRDefault="00076EE2" w:rsidP="009909C9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076EE2">
              <w:rPr>
                <w:rFonts w:ascii="Arial Narrow" w:hAnsi="Arial Narrow"/>
                <w:sz w:val="22"/>
                <w:szCs w:val="22"/>
                <w:u w:val="single"/>
              </w:rPr>
              <w:t>AAT-Mangel</w:t>
            </w:r>
          </w:p>
          <w:p w14:paraId="7991D50D" w14:textId="27BA3C7A" w:rsidR="00076EE2" w:rsidRDefault="00F961A9" w:rsidP="00F961A9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961A9">
              <w:rPr>
                <w:rFonts w:ascii="Arial Narrow" w:hAnsi="Arial Narrow"/>
                <w:sz w:val="22"/>
                <w:szCs w:val="22"/>
              </w:rPr>
              <w:t>Respreeza</w:t>
            </w:r>
            <w:proofErr w:type="spellEnd"/>
            <w:r w:rsidR="00B76CB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961A9">
              <w:rPr>
                <w:rFonts w:ascii="Arial Narrow" w:hAnsi="Arial Narrow"/>
                <w:sz w:val="22"/>
                <w:szCs w:val="22"/>
              </w:rPr>
              <w:t>wird als Erhaltungstherapie angewendet, um das Fortschreiten eines Emphysems bei Erwachsenen mit nachgewiesenem schweren Alpha1-Proteinase-</w:t>
            </w:r>
            <w:r w:rsidR="0020336C">
              <w:rPr>
                <w:rFonts w:ascii="Arial Narrow" w:hAnsi="Arial Narrow"/>
                <w:sz w:val="22"/>
                <w:szCs w:val="22"/>
              </w:rPr>
              <w:t xml:space="preserve">Inhibitor-Mangel </w:t>
            </w:r>
            <w:r w:rsidRPr="00F961A9">
              <w:rPr>
                <w:rFonts w:ascii="Arial Narrow" w:hAnsi="Arial Narrow"/>
                <w:sz w:val="22"/>
                <w:szCs w:val="22"/>
              </w:rPr>
              <w:t>zu verzögern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64CA77A2" w14:textId="77777777" w:rsidR="00F961A9" w:rsidRPr="00076EE2" w:rsidRDefault="00F961A9" w:rsidP="00F961A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DDD7F28" w14:textId="60BD2B17" w:rsidR="009909C9" w:rsidRPr="00312A1A" w:rsidRDefault="009909C9" w:rsidP="009909C9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12A1A">
              <w:rPr>
                <w:rFonts w:ascii="Arial Narrow" w:hAnsi="Arial Narrow"/>
                <w:sz w:val="22"/>
                <w:szCs w:val="22"/>
                <w:u w:val="single"/>
              </w:rPr>
              <w:t>Graft-versus-Host-Disease (GvHD)</w:t>
            </w:r>
          </w:p>
          <w:p w14:paraId="606B75B1" w14:textId="185AB511" w:rsidR="008E6675" w:rsidRPr="00312A1A" w:rsidRDefault="00E07155" w:rsidP="009909C9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12A1A">
              <w:rPr>
                <w:rFonts w:ascii="Arial Narrow" w:hAnsi="Arial Narrow"/>
                <w:sz w:val="22"/>
                <w:szCs w:val="22"/>
              </w:rPr>
              <w:t>Respreeza</w:t>
            </w:r>
            <w:proofErr w:type="spellEnd"/>
            <w:r w:rsidRPr="00312A1A">
              <w:rPr>
                <w:rFonts w:ascii="Arial Narrow" w:hAnsi="Arial Narrow"/>
                <w:sz w:val="22"/>
                <w:szCs w:val="22"/>
              </w:rPr>
              <w:t xml:space="preserve"> ist in Kombination mit Steroiden für die </w:t>
            </w:r>
            <w:r w:rsidRPr="0079700F">
              <w:rPr>
                <w:rFonts w:ascii="Arial Narrow" w:hAnsi="Arial Narrow"/>
                <w:sz w:val="22"/>
                <w:szCs w:val="22"/>
              </w:rPr>
              <w:t>Erstlinienbehandlung</w:t>
            </w:r>
            <w:r w:rsidRPr="00312A1A">
              <w:rPr>
                <w:rFonts w:ascii="Arial Narrow" w:hAnsi="Arial Narrow"/>
                <w:sz w:val="22"/>
                <w:szCs w:val="22"/>
              </w:rPr>
              <w:t xml:space="preserve"> der akuten </w:t>
            </w:r>
            <w:r w:rsidR="00196B89">
              <w:rPr>
                <w:rFonts w:ascii="Arial Narrow" w:hAnsi="Arial Narrow"/>
                <w:sz w:val="22"/>
                <w:szCs w:val="22"/>
              </w:rPr>
              <w:t>GvHD</w:t>
            </w:r>
            <w:r w:rsidRPr="00312A1A">
              <w:rPr>
                <w:rFonts w:ascii="Arial Narrow" w:hAnsi="Arial Narrow"/>
                <w:sz w:val="22"/>
                <w:szCs w:val="22"/>
              </w:rPr>
              <w:t xml:space="preserve"> bei Erwachsenen angezeigt.</w:t>
            </w:r>
          </w:p>
        </w:tc>
      </w:tr>
    </w:tbl>
    <w:p w14:paraId="2A567A9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544A3AED" w14:textId="77777777">
        <w:trPr>
          <w:trHeight w:val="234"/>
        </w:trPr>
        <w:tc>
          <w:tcPr>
            <w:tcW w:w="9212" w:type="dxa"/>
          </w:tcPr>
          <w:p w14:paraId="52A9B9D0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Welche bestehende Methode wird durch die neue Methode abgelöst oder ergänzt?</w:t>
            </w:r>
          </w:p>
        </w:tc>
      </w:tr>
      <w:tr w:rsidR="008E6675" w:rsidRPr="007F255B" w14:paraId="6B0057FA" w14:textId="77777777">
        <w:tc>
          <w:tcPr>
            <w:tcW w:w="9212" w:type="dxa"/>
          </w:tcPr>
          <w:p w14:paraId="6028079E" w14:textId="2D846535" w:rsidR="00F961A9" w:rsidRPr="00F961A9" w:rsidRDefault="00F961A9" w:rsidP="008C1686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F961A9">
              <w:rPr>
                <w:rFonts w:ascii="Arial Narrow" w:hAnsi="Arial Narrow"/>
                <w:sz w:val="22"/>
                <w:szCs w:val="22"/>
                <w:u w:val="single"/>
              </w:rPr>
              <w:t>GvHD</w:t>
            </w:r>
          </w:p>
          <w:p w14:paraId="3EC3722F" w14:textId="3C706C07" w:rsidR="008E6675" w:rsidRPr="00312A1A" w:rsidRDefault="001B6B93" w:rsidP="008C1686">
            <w:pPr>
              <w:rPr>
                <w:rFonts w:ascii="Arial Narrow" w:hAnsi="Arial Narrow"/>
                <w:color w:val="C2D69B" w:themeColor="accent3" w:themeTint="99"/>
                <w:sz w:val="22"/>
                <w:szCs w:val="22"/>
              </w:rPr>
            </w:pPr>
            <w:proofErr w:type="spellStart"/>
            <w:r w:rsidRPr="00312A1A">
              <w:rPr>
                <w:rFonts w:ascii="Arial Narrow" w:hAnsi="Arial Narrow"/>
                <w:sz w:val="22"/>
                <w:szCs w:val="22"/>
              </w:rPr>
              <w:t>Respreeza</w:t>
            </w:r>
            <w:proofErr w:type="spellEnd"/>
            <w:r w:rsidRPr="00312A1A">
              <w:rPr>
                <w:rFonts w:ascii="Arial Narrow" w:hAnsi="Arial Narrow"/>
                <w:sz w:val="22"/>
                <w:szCs w:val="22"/>
              </w:rPr>
              <w:t xml:space="preserve"> ergänzt als für die GvHD zugelassenes Medikament die bisherigen immunsuppressiven Therapien der G</w:t>
            </w:r>
            <w:r w:rsidR="00312A1A">
              <w:rPr>
                <w:rFonts w:ascii="Arial Narrow" w:hAnsi="Arial Narrow"/>
                <w:sz w:val="22"/>
                <w:szCs w:val="22"/>
              </w:rPr>
              <w:t>v</w:t>
            </w:r>
            <w:r w:rsidRPr="00312A1A">
              <w:rPr>
                <w:rFonts w:ascii="Arial Narrow" w:hAnsi="Arial Narrow"/>
                <w:sz w:val="22"/>
                <w:szCs w:val="22"/>
              </w:rPr>
              <w:t>HD.</w:t>
            </w:r>
            <w:r w:rsidR="00D642AE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D642AE">
              <w:rPr>
                <w:rFonts w:ascii="Arial Narrow" w:hAnsi="Arial Narrow"/>
                <w:sz w:val="22"/>
                <w:szCs w:val="22"/>
              </w:rPr>
              <w:t>Respreeza</w:t>
            </w:r>
            <w:proofErr w:type="spellEnd"/>
            <w:r w:rsidR="00D642AE">
              <w:rPr>
                <w:rFonts w:ascii="Arial Narrow" w:hAnsi="Arial Narrow"/>
                <w:sz w:val="22"/>
                <w:szCs w:val="22"/>
              </w:rPr>
              <w:t xml:space="preserve"> wird das einzige zugelassene Medikament, welches zusätzlich zu Steroiden in der Erstlinie gegeben werden kann, um die Response-Rate zu erhöhen.</w:t>
            </w:r>
          </w:p>
        </w:tc>
      </w:tr>
    </w:tbl>
    <w:p w14:paraId="073C0909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3CC85E94" w14:textId="77777777">
        <w:tc>
          <w:tcPr>
            <w:tcW w:w="9212" w:type="dxa"/>
          </w:tcPr>
          <w:p w14:paraId="25335173" w14:textId="77777777" w:rsidR="008E6675" w:rsidRPr="005638EB" w:rsidRDefault="008E6675" w:rsidP="00E92C57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Ist die Methode vollständig oder in Teilen neu und warum handelt es sich um eine neue Untersuchungs- und Behandlungsmethode?</w:t>
            </w:r>
          </w:p>
        </w:tc>
      </w:tr>
      <w:tr w:rsidR="008E6675" w:rsidRPr="005638EB" w14:paraId="402C1327" w14:textId="77777777">
        <w:tc>
          <w:tcPr>
            <w:tcW w:w="9212" w:type="dxa"/>
          </w:tcPr>
          <w:p w14:paraId="6B1FDB47" w14:textId="08DC694D" w:rsidR="008E6675" w:rsidRPr="00BC06CF" w:rsidRDefault="001725FE" w:rsidP="00C11458">
            <w:pPr>
              <w:rPr>
                <w:rFonts w:ascii="Arial Narrow" w:hAnsi="Arial Narrow"/>
                <w:sz w:val="22"/>
              </w:rPr>
            </w:pPr>
            <w:r w:rsidRPr="003E21AB">
              <w:rPr>
                <w:rFonts w:ascii="Arial Narrow" w:hAnsi="Arial Narrow"/>
                <w:sz w:val="22"/>
              </w:rPr>
              <w:t>Humaner Alpha</w:t>
            </w:r>
            <w:r w:rsidR="00A151F6">
              <w:rPr>
                <w:rFonts w:ascii="Arial Narrow" w:hAnsi="Arial Narrow"/>
                <w:sz w:val="22"/>
              </w:rPr>
              <w:t>-</w:t>
            </w:r>
            <w:r w:rsidRPr="003E21AB">
              <w:rPr>
                <w:rFonts w:ascii="Arial Narrow" w:hAnsi="Arial Narrow"/>
                <w:sz w:val="22"/>
              </w:rPr>
              <w:t>1-Proteinase-Inhibitor</w:t>
            </w:r>
            <w:r w:rsidR="003E21AB">
              <w:rPr>
                <w:rFonts w:ascii="Arial Narrow" w:hAnsi="Arial Narrow"/>
                <w:sz w:val="22"/>
              </w:rPr>
              <w:t xml:space="preserve"> (</w:t>
            </w:r>
            <w:proofErr w:type="spellStart"/>
            <w:r w:rsidR="003E21AB" w:rsidRPr="00312A1A">
              <w:rPr>
                <w:rFonts w:ascii="Arial Narrow" w:hAnsi="Arial Narrow"/>
                <w:sz w:val="22"/>
                <w:szCs w:val="22"/>
              </w:rPr>
              <w:t>Respreeza</w:t>
            </w:r>
            <w:proofErr w:type="spellEnd"/>
            <w:r w:rsidR="003E21AB">
              <w:rPr>
                <w:rFonts w:ascii="Arial Narrow" w:hAnsi="Arial Narrow"/>
                <w:sz w:val="22"/>
                <w:szCs w:val="22"/>
              </w:rPr>
              <w:t>)</w:t>
            </w:r>
            <w:r w:rsidR="0098009C">
              <w:rPr>
                <w:rFonts w:ascii="Arial Narrow" w:hAnsi="Arial Narrow"/>
                <w:sz w:val="22"/>
              </w:rPr>
              <w:t xml:space="preserve"> ist einerseits ein für Alpha</w:t>
            </w:r>
            <w:r w:rsidR="00A151F6">
              <w:rPr>
                <w:rFonts w:ascii="Arial Narrow" w:hAnsi="Arial Narrow"/>
                <w:sz w:val="22"/>
              </w:rPr>
              <w:t>-</w:t>
            </w:r>
            <w:r w:rsidR="0098009C">
              <w:rPr>
                <w:rFonts w:ascii="Arial Narrow" w:hAnsi="Arial Narrow"/>
                <w:sz w:val="22"/>
              </w:rPr>
              <w:t xml:space="preserve">1-Antitrypsin-Mangel </w:t>
            </w:r>
            <w:r w:rsidR="007273F0">
              <w:rPr>
                <w:rFonts w:ascii="Arial Narrow" w:hAnsi="Arial Narrow"/>
                <w:sz w:val="22"/>
              </w:rPr>
              <w:t xml:space="preserve">seit 2015 </w:t>
            </w:r>
            <w:r w:rsidR="0098009C">
              <w:rPr>
                <w:rFonts w:ascii="Arial Narrow" w:hAnsi="Arial Narrow"/>
                <w:sz w:val="22"/>
              </w:rPr>
              <w:t>zugelassenes und</w:t>
            </w:r>
            <w:r w:rsidR="00981E33">
              <w:rPr>
                <w:rFonts w:ascii="Arial Narrow" w:hAnsi="Arial Narrow"/>
                <w:sz w:val="22"/>
              </w:rPr>
              <w:t xml:space="preserve"> langjährig</w:t>
            </w:r>
            <w:r w:rsidR="0098009C">
              <w:rPr>
                <w:rFonts w:ascii="Arial Narrow" w:hAnsi="Arial Narrow"/>
                <w:sz w:val="22"/>
              </w:rPr>
              <w:t xml:space="preserve"> bewährtes Präparat. </w:t>
            </w:r>
            <w:r w:rsidR="00815B1B">
              <w:rPr>
                <w:rFonts w:ascii="Arial Narrow" w:hAnsi="Arial Narrow"/>
                <w:sz w:val="22"/>
              </w:rPr>
              <w:t xml:space="preserve">Andererseits verfügt es über immunmodulatorische Eigenschaften, die bei GvHD </w:t>
            </w:r>
            <w:r w:rsidR="000F56DA">
              <w:rPr>
                <w:rFonts w:ascii="Arial Narrow" w:hAnsi="Arial Narrow"/>
                <w:sz w:val="22"/>
              </w:rPr>
              <w:t xml:space="preserve">pathogenetisch sinnvoll und nach bisheriger Studienlage klinisch </w:t>
            </w:r>
            <w:r w:rsidR="00F65655">
              <w:rPr>
                <w:rFonts w:ascii="Arial Narrow" w:hAnsi="Arial Narrow"/>
                <w:sz w:val="22"/>
              </w:rPr>
              <w:t xml:space="preserve">effizient sind. </w:t>
            </w:r>
            <w:r w:rsidR="00981E33">
              <w:rPr>
                <w:rFonts w:ascii="Arial Narrow" w:hAnsi="Arial Narrow"/>
                <w:sz w:val="22"/>
              </w:rPr>
              <w:t>Dabei komm</w:t>
            </w:r>
            <w:r w:rsidR="008E6302">
              <w:rPr>
                <w:rFonts w:ascii="Arial Narrow" w:hAnsi="Arial Narrow"/>
                <w:sz w:val="22"/>
              </w:rPr>
              <w:t>t</w:t>
            </w:r>
            <w:r w:rsidR="00981E33">
              <w:rPr>
                <w:rFonts w:ascii="Arial Narrow" w:hAnsi="Arial Narrow"/>
                <w:sz w:val="22"/>
              </w:rPr>
              <w:t xml:space="preserve"> eine Dosierung </w:t>
            </w:r>
            <w:r w:rsidR="007C0ADF">
              <w:rPr>
                <w:rFonts w:ascii="Arial Narrow" w:hAnsi="Arial Narrow"/>
                <w:sz w:val="22"/>
              </w:rPr>
              <w:t xml:space="preserve">mit besonderen Applikationsintervallen </w:t>
            </w:r>
            <w:r w:rsidR="00981E33">
              <w:rPr>
                <w:rFonts w:ascii="Arial Narrow" w:hAnsi="Arial Narrow"/>
                <w:sz w:val="22"/>
              </w:rPr>
              <w:t>zum Einsatz</w:t>
            </w:r>
            <w:r w:rsidR="008E6302">
              <w:rPr>
                <w:rFonts w:ascii="Arial Narrow" w:hAnsi="Arial Narrow"/>
                <w:sz w:val="22"/>
              </w:rPr>
              <w:t>,</w:t>
            </w:r>
            <w:r w:rsidR="00981E33">
              <w:rPr>
                <w:rFonts w:ascii="Arial Narrow" w:hAnsi="Arial Narrow"/>
                <w:sz w:val="22"/>
              </w:rPr>
              <w:t xml:space="preserve"> </w:t>
            </w:r>
            <w:r w:rsidR="008E6302">
              <w:rPr>
                <w:rFonts w:ascii="Arial Narrow" w:hAnsi="Arial Narrow"/>
                <w:sz w:val="22"/>
              </w:rPr>
              <w:t xml:space="preserve">die von der </w:t>
            </w:r>
            <w:r w:rsidR="00BA57F4">
              <w:rPr>
                <w:rFonts w:ascii="Arial Narrow" w:hAnsi="Arial Narrow"/>
                <w:sz w:val="22"/>
              </w:rPr>
              <w:t xml:space="preserve">für </w:t>
            </w:r>
            <w:r w:rsidR="008E6302">
              <w:rPr>
                <w:rFonts w:ascii="Arial Narrow" w:hAnsi="Arial Narrow"/>
                <w:sz w:val="22"/>
              </w:rPr>
              <w:t>AAT</w:t>
            </w:r>
            <w:r w:rsidR="00121A02">
              <w:rPr>
                <w:rFonts w:ascii="Arial Narrow" w:hAnsi="Arial Narrow"/>
                <w:sz w:val="22"/>
              </w:rPr>
              <w:t>-Mangel</w:t>
            </w:r>
            <w:r w:rsidR="008E6302">
              <w:rPr>
                <w:rFonts w:ascii="Arial Narrow" w:hAnsi="Arial Narrow"/>
                <w:sz w:val="22"/>
              </w:rPr>
              <w:t xml:space="preserve"> zugelassenen Dosierung abweicht. </w:t>
            </w:r>
            <w:r w:rsidR="0026560C">
              <w:rPr>
                <w:rFonts w:ascii="Arial Narrow" w:hAnsi="Arial Narrow"/>
                <w:sz w:val="22"/>
              </w:rPr>
              <w:t xml:space="preserve">Eine klinisch </w:t>
            </w:r>
            <w:r w:rsidR="004F3C49">
              <w:rPr>
                <w:rFonts w:ascii="Arial Narrow" w:hAnsi="Arial Narrow"/>
                <w:sz w:val="22"/>
              </w:rPr>
              <w:t>relevante</w:t>
            </w:r>
            <w:r w:rsidR="0026560C">
              <w:rPr>
                <w:rFonts w:ascii="Arial Narrow" w:hAnsi="Arial Narrow"/>
                <w:sz w:val="22"/>
              </w:rPr>
              <w:t xml:space="preserve"> </w:t>
            </w:r>
            <w:r w:rsidR="004F3C49">
              <w:rPr>
                <w:rFonts w:ascii="Arial Narrow" w:hAnsi="Arial Narrow"/>
                <w:sz w:val="22"/>
              </w:rPr>
              <w:t xml:space="preserve">Eigenschaft von </w:t>
            </w:r>
            <w:proofErr w:type="spellStart"/>
            <w:r w:rsidR="00633FDD" w:rsidRPr="00312A1A">
              <w:rPr>
                <w:rFonts w:ascii="Arial Narrow" w:hAnsi="Arial Narrow"/>
                <w:sz w:val="22"/>
                <w:szCs w:val="22"/>
              </w:rPr>
              <w:t>Respreeza</w:t>
            </w:r>
            <w:proofErr w:type="spellEnd"/>
            <w:r w:rsidR="00633FD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F3C49">
              <w:rPr>
                <w:rFonts w:ascii="Arial Narrow" w:hAnsi="Arial Narrow"/>
                <w:sz w:val="22"/>
              </w:rPr>
              <w:t xml:space="preserve">ist, dass es </w:t>
            </w:r>
            <w:r w:rsidR="00220AFA">
              <w:rPr>
                <w:rFonts w:ascii="Arial Narrow" w:hAnsi="Arial Narrow"/>
                <w:sz w:val="22"/>
                <w:szCs w:val="22"/>
              </w:rPr>
              <w:t xml:space="preserve">selbst </w:t>
            </w:r>
            <w:r w:rsidR="000A3EEE">
              <w:rPr>
                <w:rFonts w:ascii="Arial Narrow" w:hAnsi="Arial Narrow"/>
                <w:sz w:val="22"/>
                <w:szCs w:val="22"/>
              </w:rPr>
              <w:t xml:space="preserve">nicht immunsuppressiv wirkt und </w:t>
            </w:r>
            <w:r w:rsidR="000A3EEE">
              <w:rPr>
                <w:rFonts w:ascii="Arial Narrow" w:hAnsi="Arial Narrow"/>
                <w:sz w:val="22"/>
              </w:rPr>
              <w:t xml:space="preserve">in der Fachinformation </w:t>
            </w:r>
            <w:r w:rsidR="00692DBE">
              <w:rPr>
                <w:rFonts w:ascii="Arial Narrow" w:hAnsi="Arial Narrow"/>
                <w:sz w:val="22"/>
                <w:szCs w:val="22"/>
              </w:rPr>
              <w:t xml:space="preserve">keinerlei </w:t>
            </w:r>
            <w:r w:rsidR="002A0675">
              <w:rPr>
                <w:rFonts w:ascii="Arial Narrow" w:hAnsi="Arial Narrow"/>
                <w:sz w:val="22"/>
                <w:szCs w:val="22"/>
              </w:rPr>
              <w:t>immunologisch</w:t>
            </w:r>
            <w:r w:rsidR="003D07EF">
              <w:rPr>
                <w:rFonts w:ascii="Arial Narrow" w:hAnsi="Arial Narrow"/>
                <w:sz w:val="22"/>
                <w:szCs w:val="22"/>
              </w:rPr>
              <w:t xml:space="preserve">e </w:t>
            </w:r>
            <w:r w:rsidR="0037784D">
              <w:rPr>
                <w:rFonts w:ascii="Arial Narrow" w:hAnsi="Arial Narrow"/>
                <w:sz w:val="22"/>
                <w:szCs w:val="22"/>
              </w:rPr>
              <w:t>Wechsel</w:t>
            </w:r>
            <w:r w:rsidR="003D07EF">
              <w:rPr>
                <w:rFonts w:ascii="Arial Narrow" w:hAnsi="Arial Narrow"/>
                <w:sz w:val="22"/>
                <w:szCs w:val="22"/>
              </w:rPr>
              <w:t xml:space="preserve">wirkungen </w:t>
            </w:r>
            <w:r w:rsidR="00826A7D">
              <w:rPr>
                <w:rFonts w:ascii="Arial Narrow" w:hAnsi="Arial Narrow"/>
                <w:sz w:val="22"/>
                <w:szCs w:val="22"/>
              </w:rPr>
              <w:t xml:space="preserve">mit den regelhaft bei GvHD eingesetzten Pharmaka </w:t>
            </w:r>
            <w:r w:rsidR="009E3468">
              <w:rPr>
                <w:rFonts w:ascii="Arial Narrow" w:hAnsi="Arial Narrow"/>
                <w:sz w:val="22"/>
                <w:szCs w:val="22"/>
              </w:rPr>
              <w:t>beschrieben</w:t>
            </w:r>
            <w:r w:rsidR="00826A7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D07EF">
              <w:rPr>
                <w:rFonts w:ascii="Arial Narrow" w:hAnsi="Arial Narrow"/>
                <w:sz w:val="22"/>
                <w:szCs w:val="22"/>
              </w:rPr>
              <w:t>sind</w:t>
            </w:r>
            <w:r w:rsidR="009E3468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</w:tc>
      </w:tr>
    </w:tbl>
    <w:p w14:paraId="75E7896B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DEA2055" w14:textId="77777777">
        <w:tc>
          <w:tcPr>
            <w:tcW w:w="9212" w:type="dxa"/>
          </w:tcPr>
          <w:p w14:paraId="4E8FCE4C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Welche Auswirkungen hat die Methode auf die Verweildauer im Krankenhaus?</w:t>
            </w:r>
          </w:p>
        </w:tc>
      </w:tr>
      <w:tr w:rsidR="008E6675" w:rsidRPr="005638EB" w14:paraId="5C15DE82" w14:textId="77777777">
        <w:trPr>
          <w:trHeight w:val="264"/>
        </w:trPr>
        <w:tc>
          <w:tcPr>
            <w:tcW w:w="9212" w:type="dxa"/>
          </w:tcPr>
          <w:p w14:paraId="19E75E35" w14:textId="15AF1EC4" w:rsidR="00A530BE" w:rsidRPr="00312A1A" w:rsidRDefault="00685546" w:rsidP="005638EB">
            <w:pPr>
              <w:rPr>
                <w:rFonts w:ascii="Arial Narrow" w:hAnsi="Arial Narrow"/>
              </w:rPr>
            </w:pPr>
            <w:r w:rsidRPr="00BC06CF">
              <w:rPr>
                <w:rFonts w:ascii="Arial Narrow" w:hAnsi="Arial Narrow"/>
                <w:sz w:val="22"/>
                <w:szCs w:val="22"/>
              </w:rPr>
              <w:t xml:space="preserve">Zur Veränderung der Verweildauer im Krankenhaus können derzeit aufgrund fehlender </w:t>
            </w:r>
            <w:r w:rsidR="00052FF2" w:rsidRPr="00BC06CF">
              <w:rPr>
                <w:rFonts w:ascii="Arial Narrow" w:hAnsi="Arial Narrow"/>
                <w:sz w:val="22"/>
                <w:szCs w:val="22"/>
              </w:rPr>
              <w:t xml:space="preserve">Daten </w:t>
            </w:r>
            <w:r w:rsidR="001725FE" w:rsidRPr="00BC06CF">
              <w:rPr>
                <w:rFonts w:ascii="Arial Narrow" w:hAnsi="Arial Narrow"/>
                <w:sz w:val="22"/>
                <w:szCs w:val="22"/>
              </w:rPr>
              <w:t>bzw.</w:t>
            </w:r>
            <w:r w:rsidR="00052FF2" w:rsidRPr="00BC06C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C06CF">
              <w:rPr>
                <w:rFonts w:ascii="Arial Narrow" w:hAnsi="Arial Narrow"/>
                <w:sz w:val="22"/>
                <w:szCs w:val="22"/>
              </w:rPr>
              <w:t>Erfahrungen keine Aussagen gemacht werden.</w:t>
            </w:r>
          </w:p>
        </w:tc>
      </w:tr>
    </w:tbl>
    <w:p w14:paraId="4E061776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6BCFFEC8" w14:textId="77777777">
        <w:tc>
          <w:tcPr>
            <w:tcW w:w="9212" w:type="dxa"/>
          </w:tcPr>
          <w:p w14:paraId="5ABEFBD5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Wann wurde diese Methode in Deutschland eingeführt?</w:t>
            </w:r>
          </w:p>
        </w:tc>
      </w:tr>
      <w:tr w:rsidR="008E6675" w:rsidRPr="007F255B" w14:paraId="0DF8F781" w14:textId="77777777">
        <w:tc>
          <w:tcPr>
            <w:tcW w:w="9212" w:type="dxa"/>
          </w:tcPr>
          <w:p w14:paraId="525BC730" w14:textId="0690F737" w:rsidR="009A0F5E" w:rsidRPr="00BC06CF" w:rsidRDefault="009A0F5E" w:rsidP="00C112A6">
            <w:pPr>
              <w:rPr>
                <w:rFonts w:ascii="Arial Narrow" w:hAnsi="Arial Narrow"/>
                <w:sz w:val="22"/>
              </w:rPr>
            </w:pPr>
            <w:r w:rsidRPr="00BC06CF">
              <w:rPr>
                <w:rFonts w:ascii="Arial Narrow" w:hAnsi="Arial Narrow"/>
                <w:sz w:val="22"/>
              </w:rPr>
              <w:t>AAT-Mangel: 2015</w:t>
            </w:r>
          </w:p>
          <w:p w14:paraId="256E27C8" w14:textId="0AC064A0" w:rsidR="000D5C97" w:rsidRPr="00C112A6" w:rsidRDefault="009A0F5E" w:rsidP="00C112A6">
            <w:pPr>
              <w:rPr>
                <w:rFonts w:ascii="Arial Narrow" w:hAnsi="Arial Narrow"/>
                <w:color w:val="00B050"/>
                <w:sz w:val="22"/>
              </w:rPr>
            </w:pPr>
            <w:r w:rsidRPr="00BC06CF">
              <w:rPr>
                <w:rFonts w:ascii="Arial Narrow" w:hAnsi="Arial Narrow"/>
                <w:sz w:val="22"/>
              </w:rPr>
              <w:t xml:space="preserve">GvHD: </w:t>
            </w:r>
            <w:r w:rsidR="00C75432">
              <w:rPr>
                <w:rFonts w:ascii="Arial Narrow" w:hAnsi="Arial Narrow"/>
                <w:sz w:val="22"/>
              </w:rPr>
              <w:t>Zulassung wird erwartet</w:t>
            </w:r>
          </w:p>
        </w:tc>
      </w:tr>
    </w:tbl>
    <w:p w14:paraId="233BCD28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DE956DB" w14:textId="77777777">
        <w:tc>
          <w:tcPr>
            <w:tcW w:w="9212" w:type="dxa"/>
          </w:tcPr>
          <w:p w14:paraId="483A4156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Bei Medikamenten: Wann wurde dieses Medikament zugelassen?</w:t>
            </w:r>
          </w:p>
        </w:tc>
      </w:tr>
      <w:tr w:rsidR="008E6675" w:rsidRPr="007F255B" w14:paraId="1264FF24" w14:textId="77777777">
        <w:tc>
          <w:tcPr>
            <w:tcW w:w="9212" w:type="dxa"/>
          </w:tcPr>
          <w:p w14:paraId="2A6A289C" w14:textId="58F5993B" w:rsidR="009A0F5E" w:rsidRPr="00BC06CF" w:rsidRDefault="00FE58D9" w:rsidP="009A0F5E">
            <w:pPr>
              <w:rPr>
                <w:rFonts w:ascii="Arial Narrow" w:hAnsi="Arial Narrow"/>
                <w:sz w:val="22"/>
              </w:rPr>
            </w:pPr>
            <w:r w:rsidRPr="00BC06CF">
              <w:rPr>
                <w:rFonts w:ascii="Arial Narrow" w:hAnsi="Arial Narrow"/>
                <w:sz w:val="22"/>
              </w:rPr>
              <w:t>AAT</w:t>
            </w:r>
            <w:r w:rsidR="009A0F5E" w:rsidRPr="00BC06CF">
              <w:rPr>
                <w:rFonts w:ascii="Arial Narrow" w:hAnsi="Arial Narrow"/>
                <w:sz w:val="22"/>
              </w:rPr>
              <w:t>-Mangel: 2015</w:t>
            </w:r>
          </w:p>
          <w:p w14:paraId="7BB60EDC" w14:textId="11E103B4" w:rsidR="00044597" w:rsidRPr="00C112A6" w:rsidRDefault="009A0F5E" w:rsidP="009A0F5E">
            <w:pPr>
              <w:rPr>
                <w:rFonts w:ascii="Arial Narrow" w:hAnsi="Arial Narrow"/>
                <w:color w:val="00B050"/>
                <w:sz w:val="22"/>
              </w:rPr>
            </w:pPr>
            <w:r w:rsidRPr="00BC06CF">
              <w:rPr>
                <w:rFonts w:ascii="Arial Narrow" w:hAnsi="Arial Narrow"/>
                <w:sz w:val="22"/>
              </w:rPr>
              <w:t xml:space="preserve">GvHD: </w:t>
            </w:r>
            <w:r w:rsidR="00C75432">
              <w:rPr>
                <w:rFonts w:ascii="Arial Narrow" w:hAnsi="Arial Narrow"/>
                <w:sz w:val="22"/>
              </w:rPr>
              <w:t>Zulassung wird erwartet</w:t>
            </w:r>
          </w:p>
        </w:tc>
      </w:tr>
    </w:tbl>
    <w:p w14:paraId="479CCD3D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24374391" w14:textId="77777777">
        <w:tc>
          <w:tcPr>
            <w:tcW w:w="9212" w:type="dxa"/>
          </w:tcPr>
          <w:p w14:paraId="657A69BC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 xml:space="preserve">Wann wurde </w:t>
            </w:r>
            <w:r w:rsidR="002333FF">
              <w:rPr>
                <w:rFonts w:ascii="Arial Narrow" w:hAnsi="Arial Narrow"/>
                <w:b/>
                <w:sz w:val="22"/>
              </w:rPr>
              <w:t xml:space="preserve">bzw. wird </w:t>
            </w:r>
            <w:r w:rsidRPr="005638EB">
              <w:rPr>
                <w:rFonts w:ascii="Arial Narrow" w:hAnsi="Arial Narrow"/>
                <w:b/>
                <w:sz w:val="22"/>
              </w:rPr>
              <w:t>die Methode in Ihrem Krankenhaus eingeführt?</w:t>
            </w:r>
          </w:p>
        </w:tc>
      </w:tr>
      <w:tr w:rsidR="008E6675" w:rsidRPr="005638EB" w14:paraId="4BC61AB6" w14:textId="77777777">
        <w:tc>
          <w:tcPr>
            <w:tcW w:w="9212" w:type="dxa"/>
          </w:tcPr>
          <w:p w14:paraId="7727C539" w14:textId="650EF05C" w:rsidR="008E6675" w:rsidRPr="005E7E3C" w:rsidRDefault="005E7E3C" w:rsidP="005638EB">
            <w:pPr>
              <w:rPr>
                <w:rFonts w:ascii="Arial Narrow" w:hAnsi="Arial Narrow"/>
                <w:highlight w:val="yellow"/>
              </w:rPr>
            </w:pPr>
            <w:r w:rsidRPr="005E7E3C">
              <w:rPr>
                <w:rFonts w:ascii="Arial Narrow" w:hAnsi="Arial Narrow"/>
                <w:highlight w:val="yellow"/>
              </w:rPr>
              <w:t>Eingabe von Seiten des KH</w:t>
            </w:r>
          </w:p>
        </w:tc>
      </w:tr>
    </w:tbl>
    <w:p w14:paraId="09FB8D7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3D6635CC" w14:textId="77777777">
        <w:tc>
          <w:tcPr>
            <w:tcW w:w="9212" w:type="dxa"/>
          </w:tcPr>
          <w:p w14:paraId="126EBD70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lastRenderedPageBreak/>
              <w:t>In wie vielen Kliniken wird diese Methode derzeit eingesetzt (Schätzung)?</w:t>
            </w:r>
          </w:p>
        </w:tc>
      </w:tr>
      <w:tr w:rsidR="008E6675" w:rsidRPr="005638EB" w14:paraId="4C00526F" w14:textId="77777777">
        <w:tc>
          <w:tcPr>
            <w:tcW w:w="9212" w:type="dxa"/>
          </w:tcPr>
          <w:p w14:paraId="27CD67E3" w14:textId="77777777" w:rsidR="00F45EBD" w:rsidRPr="00F45EBD" w:rsidRDefault="00F45EBD" w:rsidP="00F45EBD">
            <w:pPr>
              <w:rPr>
                <w:rFonts w:ascii="Arial Narrow" w:hAnsi="Arial Narrow"/>
                <w:sz w:val="22"/>
              </w:rPr>
            </w:pPr>
            <w:r w:rsidRPr="00F45EBD">
              <w:rPr>
                <w:rFonts w:ascii="Arial Narrow" w:hAnsi="Arial Narrow"/>
                <w:sz w:val="22"/>
              </w:rPr>
              <w:t xml:space="preserve">Für eine Schätzung der Klinikanzahl im Einsatzgebiet aGvHD bzw. allogene Stammzelltransplantation kann die Zahl der Kliniken herangezogen werden, die in diesen Indikationsgebieten aktiv sind. </w:t>
            </w:r>
          </w:p>
          <w:p w14:paraId="0E17409E" w14:textId="77777777" w:rsidR="00F45EBD" w:rsidRPr="00F45EBD" w:rsidRDefault="00F45EBD" w:rsidP="00F45EBD">
            <w:pPr>
              <w:rPr>
                <w:rFonts w:ascii="Arial Narrow" w:hAnsi="Arial Narrow"/>
                <w:sz w:val="22"/>
              </w:rPr>
            </w:pPr>
            <w:r w:rsidRPr="00F45EBD">
              <w:rPr>
                <w:rFonts w:ascii="Arial Narrow" w:hAnsi="Arial Narrow"/>
                <w:sz w:val="22"/>
              </w:rPr>
              <w:t>Gemäß Qualitätsbericht 2022 haben 78 verschiedene Kliniken</w:t>
            </w:r>
          </w:p>
          <w:p w14:paraId="2D169603" w14:textId="77777777" w:rsidR="00F45EBD" w:rsidRPr="00F45EBD" w:rsidRDefault="00F45EBD" w:rsidP="00F45EBD">
            <w:pPr>
              <w:pStyle w:val="Listenabsatz"/>
              <w:numPr>
                <w:ilvl w:val="0"/>
                <w:numId w:val="11"/>
              </w:numPr>
              <w:rPr>
                <w:rFonts w:ascii="Arial Narrow" w:hAnsi="Arial Narrow"/>
                <w:sz w:val="22"/>
              </w:rPr>
            </w:pPr>
            <w:r w:rsidRPr="00F45EBD">
              <w:rPr>
                <w:rFonts w:ascii="Arial Narrow" w:hAnsi="Arial Narrow"/>
                <w:sz w:val="22"/>
              </w:rPr>
              <w:t>die ICD Kodes T86.01 oder T86.02 (als Hauptdiagnose) oder</w:t>
            </w:r>
          </w:p>
          <w:p w14:paraId="5685B5CC" w14:textId="77777777" w:rsidR="00F45EBD" w:rsidRPr="00F45EBD" w:rsidRDefault="00F45EBD" w:rsidP="00F45EBD">
            <w:pPr>
              <w:pStyle w:val="Listenabsatz"/>
              <w:numPr>
                <w:ilvl w:val="0"/>
                <w:numId w:val="11"/>
              </w:numPr>
              <w:rPr>
                <w:rFonts w:ascii="Arial Narrow" w:hAnsi="Arial Narrow"/>
                <w:sz w:val="22"/>
              </w:rPr>
            </w:pPr>
            <w:r w:rsidRPr="00F45EBD">
              <w:rPr>
                <w:rFonts w:ascii="Arial Narrow" w:hAnsi="Arial Narrow"/>
                <w:sz w:val="22"/>
              </w:rPr>
              <w:t>den OPS-Kode 8-805.50 kodiert.</w:t>
            </w:r>
          </w:p>
          <w:p w14:paraId="629C429A" w14:textId="77777777" w:rsidR="00F45EBD" w:rsidRPr="00F45EBD" w:rsidRDefault="00F45EBD" w:rsidP="00F45EBD">
            <w:pPr>
              <w:rPr>
                <w:rFonts w:ascii="Arial Narrow" w:hAnsi="Arial Narrow"/>
                <w:sz w:val="22"/>
              </w:rPr>
            </w:pPr>
            <w:r w:rsidRPr="00F45EBD">
              <w:rPr>
                <w:rFonts w:ascii="Arial Narrow" w:hAnsi="Arial Narrow"/>
                <w:sz w:val="22"/>
              </w:rPr>
              <w:t xml:space="preserve">Zu beachten ist, dass T86.01 bzw. T86.02 i.d.R. als Nebendiagnose kodiert wird, die Qualitätsberichtdaten jedoch nur Hauptdiagnosen abbilden. </w:t>
            </w:r>
          </w:p>
          <w:p w14:paraId="1FB3F294" w14:textId="77777777" w:rsidR="00F45EBD" w:rsidRPr="00F45EBD" w:rsidRDefault="00F45EBD" w:rsidP="00F45EBD">
            <w:pPr>
              <w:rPr>
                <w:rFonts w:ascii="Arial Narrow" w:hAnsi="Arial Narrow"/>
                <w:sz w:val="22"/>
              </w:rPr>
            </w:pPr>
          </w:p>
          <w:p w14:paraId="21DD9094" w14:textId="548F8DEE" w:rsidR="00C112A6" w:rsidRPr="005638EB" w:rsidRDefault="00F45EBD" w:rsidP="00F45EBD">
            <w:pPr>
              <w:rPr>
                <w:rFonts w:ascii="Arial Narrow" w:hAnsi="Arial Narrow"/>
              </w:rPr>
            </w:pPr>
            <w:r w:rsidRPr="00F45EBD">
              <w:rPr>
                <w:rFonts w:ascii="Arial Narrow" w:hAnsi="Arial Narrow"/>
                <w:sz w:val="22"/>
              </w:rPr>
              <w:t>(Quelle: Qualitätsbericht 2022; Die Qualitätsberichte der Krankenhäuser werden vorliegend nur teilweise bzw. auszugsweise genutzt. Eine vollständige unveränderte Darstellung der Qualitätsberichte der Krankenhäuser erhalten Sie unter www.g-ba.de/qualitaetsberichte.)</w:t>
            </w:r>
          </w:p>
        </w:tc>
      </w:tr>
    </w:tbl>
    <w:p w14:paraId="43674FE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2BCF6BA3" w14:textId="77777777">
        <w:tc>
          <w:tcPr>
            <w:tcW w:w="9212" w:type="dxa"/>
          </w:tcPr>
          <w:p w14:paraId="6D713A1D" w14:textId="62E59CF7" w:rsidR="008E6675" w:rsidRPr="005638EB" w:rsidRDefault="008E6675" w:rsidP="00285AE4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Wie viele Patienten wur</w:t>
            </w:r>
            <w:r w:rsidR="000953D2">
              <w:rPr>
                <w:rFonts w:ascii="Arial Narrow" w:hAnsi="Arial Narrow"/>
                <w:b/>
                <w:sz w:val="22"/>
              </w:rPr>
              <w:t xml:space="preserve">den in Ihrem Krankenhaus </w:t>
            </w:r>
            <w:proofErr w:type="gramStart"/>
            <w:r w:rsidR="000953D2">
              <w:rPr>
                <w:rFonts w:ascii="Arial Narrow" w:hAnsi="Arial Narrow"/>
                <w:b/>
                <w:sz w:val="22"/>
              </w:rPr>
              <w:t>in 202</w:t>
            </w:r>
            <w:r w:rsidR="000A2E93">
              <w:rPr>
                <w:rFonts w:ascii="Arial Narrow" w:hAnsi="Arial Narrow"/>
                <w:b/>
                <w:sz w:val="22"/>
              </w:rPr>
              <w:t>3</w:t>
            </w:r>
            <w:proofErr w:type="gramEnd"/>
            <w:r w:rsidR="000953D2">
              <w:rPr>
                <w:rFonts w:ascii="Arial Narrow" w:hAnsi="Arial Narrow"/>
                <w:b/>
                <w:sz w:val="22"/>
              </w:rPr>
              <w:t xml:space="preserve"> oder in 202</w:t>
            </w:r>
            <w:r w:rsidR="000A2E93">
              <w:rPr>
                <w:rFonts w:ascii="Arial Narrow" w:hAnsi="Arial Narrow"/>
                <w:b/>
                <w:sz w:val="22"/>
              </w:rPr>
              <w:t>4</w:t>
            </w:r>
            <w:r w:rsidRPr="008C1686">
              <w:rPr>
                <w:rFonts w:ascii="Arial Narrow" w:hAnsi="Arial Narrow"/>
                <w:b/>
                <w:sz w:val="22"/>
              </w:rPr>
              <w:t xml:space="preserve"> mit dieser Methode behandelt?</w:t>
            </w:r>
          </w:p>
        </w:tc>
      </w:tr>
      <w:tr w:rsidR="008E6675" w:rsidRPr="00AB10BF" w14:paraId="5CCFBAD3" w14:textId="77777777">
        <w:tc>
          <w:tcPr>
            <w:tcW w:w="9212" w:type="dxa"/>
          </w:tcPr>
          <w:p w14:paraId="4F6124DB" w14:textId="6AC98F86" w:rsidR="008E6675" w:rsidRPr="00AB10BF" w:rsidRDefault="008E6675" w:rsidP="00285AE4">
            <w:pPr>
              <w:rPr>
                <w:rFonts w:ascii="Arial Narrow" w:hAnsi="Arial Narrow"/>
                <w:sz w:val="22"/>
              </w:rPr>
            </w:pPr>
            <w:proofErr w:type="gramStart"/>
            <w:r w:rsidRPr="00AB10BF">
              <w:rPr>
                <w:rFonts w:ascii="Arial Narrow" w:hAnsi="Arial Narrow"/>
                <w:sz w:val="22"/>
              </w:rPr>
              <w:t xml:space="preserve">In </w:t>
            </w:r>
            <w:r w:rsidR="000953D2" w:rsidRPr="00AB10BF">
              <w:rPr>
                <w:rFonts w:ascii="Arial Narrow" w:hAnsi="Arial Narrow"/>
                <w:sz w:val="22"/>
              </w:rPr>
              <w:t>202</w:t>
            </w:r>
            <w:r w:rsidR="000A2E93">
              <w:rPr>
                <w:rFonts w:ascii="Arial Narrow" w:hAnsi="Arial Narrow"/>
                <w:sz w:val="22"/>
              </w:rPr>
              <w:t>3</w:t>
            </w:r>
            <w:proofErr w:type="gramEnd"/>
            <w:r w:rsidR="005E7E3C">
              <w:rPr>
                <w:rFonts w:ascii="Arial Narrow" w:hAnsi="Arial Narrow"/>
                <w:sz w:val="22"/>
              </w:rPr>
              <w:t xml:space="preserve"> </w:t>
            </w:r>
            <w:r w:rsidR="005E7E3C" w:rsidRPr="005E7E3C">
              <w:rPr>
                <w:rFonts w:ascii="Arial Narrow" w:hAnsi="Arial Narrow"/>
                <w:highlight w:val="yellow"/>
              </w:rPr>
              <w:t>Eingabe von Seiten des KH</w:t>
            </w:r>
          </w:p>
        </w:tc>
      </w:tr>
      <w:tr w:rsidR="00983554" w:rsidRPr="005638EB" w14:paraId="1992E6A2" w14:textId="77777777">
        <w:tc>
          <w:tcPr>
            <w:tcW w:w="9212" w:type="dxa"/>
          </w:tcPr>
          <w:p w14:paraId="283F259E" w14:textId="51FA0228" w:rsidR="00983554" w:rsidRPr="005638EB" w:rsidRDefault="00983554" w:rsidP="0036178C">
            <w:pPr>
              <w:rPr>
                <w:rFonts w:ascii="Arial Narrow" w:hAnsi="Arial Narrow"/>
              </w:rPr>
            </w:pPr>
          </w:p>
        </w:tc>
      </w:tr>
      <w:tr w:rsidR="008E6675" w:rsidRPr="00AB10BF" w14:paraId="175E4977" w14:textId="77777777">
        <w:tc>
          <w:tcPr>
            <w:tcW w:w="9212" w:type="dxa"/>
          </w:tcPr>
          <w:p w14:paraId="33A68C3A" w14:textId="0A6EC145" w:rsidR="008E6675" w:rsidRPr="00AB10BF" w:rsidRDefault="008E6675" w:rsidP="00285AE4">
            <w:pPr>
              <w:rPr>
                <w:rFonts w:ascii="Arial Narrow" w:hAnsi="Arial Narrow"/>
                <w:sz w:val="22"/>
              </w:rPr>
            </w:pPr>
            <w:proofErr w:type="gramStart"/>
            <w:r w:rsidRPr="00AB10BF">
              <w:rPr>
                <w:rFonts w:ascii="Arial Narrow" w:hAnsi="Arial Narrow"/>
                <w:sz w:val="22"/>
              </w:rPr>
              <w:t xml:space="preserve">In </w:t>
            </w:r>
            <w:r w:rsidR="000953D2" w:rsidRPr="00AB10BF">
              <w:rPr>
                <w:rFonts w:ascii="Arial Narrow" w:hAnsi="Arial Narrow"/>
                <w:sz w:val="22"/>
              </w:rPr>
              <w:t>202</w:t>
            </w:r>
            <w:r w:rsidR="000A2E93">
              <w:rPr>
                <w:rFonts w:ascii="Arial Narrow" w:hAnsi="Arial Narrow"/>
                <w:sz w:val="22"/>
              </w:rPr>
              <w:t>4</w:t>
            </w:r>
            <w:proofErr w:type="gramEnd"/>
            <w:r w:rsidR="005E7E3C">
              <w:rPr>
                <w:rFonts w:ascii="Arial Narrow" w:hAnsi="Arial Narrow"/>
                <w:sz w:val="22"/>
              </w:rPr>
              <w:t xml:space="preserve"> </w:t>
            </w:r>
            <w:r w:rsidR="005E7E3C" w:rsidRPr="005E7E3C">
              <w:rPr>
                <w:rFonts w:ascii="Arial Narrow" w:hAnsi="Arial Narrow"/>
                <w:highlight w:val="yellow"/>
              </w:rPr>
              <w:t>Eingabe von Seiten des KH</w:t>
            </w:r>
          </w:p>
        </w:tc>
      </w:tr>
      <w:tr w:rsidR="00983554" w:rsidRPr="005638EB" w14:paraId="6BABCFC8" w14:textId="77777777">
        <w:tc>
          <w:tcPr>
            <w:tcW w:w="9212" w:type="dxa"/>
          </w:tcPr>
          <w:p w14:paraId="17351D25" w14:textId="7F31ABC4" w:rsidR="00983554" w:rsidRPr="005638EB" w:rsidRDefault="00983554" w:rsidP="0036178C">
            <w:pPr>
              <w:rPr>
                <w:rFonts w:ascii="Arial Narrow" w:hAnsi="Arial Narrow"/>
              </w:rPr>
            </w:pPr>
          </w:p>
        </w:tc>
      </w:tr>
    </w:tbl>
    <w:p w14:paraId="394F267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49B8805A" w14:textId="77777777">
        <w:tc>
          <w:tcPr>
            <w:tcW w:w="9212" w:type="dxa"/>
          </w:tcPr>
          <w:p w14:paraId="2C8371FB" w14:textId="307B4365" w:rsidR="008E6675" w:rsidRPr="005638EB" w:rsidRDefault="008E6675" w:rsidP="00285AE4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Wie</w:t>
            </w:r>
            <w:r w:rsidR="00F365AF">
              <w:rPr>
                <w:rFonts w:ascii="Arial Narrow" w:hAnsi="Arial Narrow"/>
                <w:b/>
                <w:sz w:val="22"/>
              </w:rPr>
              <w:t xml:space="preserve"> </w:t>
            </w:r>
            <w:r w:rsidRPr="008C1686">
              <w:rPr>
                <w:rFonts w:ascii="Arial Narrow" w:hAnsi="Arial Narrow"/>
                <w:b/>
                <w:sz w:val="22"/>
              </w:rPr>
              <w:t>viele P</w:t>
            </w:r>
            <w:r w:rsidR="00A530BE">
              <w:rPr>
                <w:rFonts w:ascii="Arial Narrow" w:hAnsi="Arial Narrow"/>
                <w:b/>
                <w:sz w:val="22"/>
              </w:rPr>
              <w:t>atienten planen Sie im Jahr 20</w:t>
            </w:r>
            <w:r w:rsidR="000953D2">
              <w:rPr>
                <w:rFonts w:ascii="Arial Narrow" w:hAnsi="Arial Narrow"/>
                <w:b/>
                <w:sz w:val="22"/>
              </w:rPr>
              <w:t>2</w:t>
            </w:r>
            <w:r w:rsidR="00591F21">
              <w:rPr>
                <w:rFonts w:ascii="Arial Narrow" w:hAnsi="Arial Narrow"/>
                <w:b/>
                <w:sz w:val="22"/>
              </w:rPr>
              <w:t>5</w:t>
            </w:r>
            <w:r w:rsidRPr="008C1686">
              <w:rPr>
                <w:rFonts w:ascii="Arial Narrow" w:hAnsi="Arial Narrow"/>
                <w:b/>
                <w:sz w:val="22"/>
              </w:rPr>
              <w:t xml:space="preserve"> mit dieser Methode zu behandeln?</w:t>
            </w:r>
          </w:p>
        </w:tc>
      </w:tr>
      <w:tr w:rsidR="00983554" w:rsidRPr="005638EB" w14:paraId="742C5EF0" w14:textId="77777777">
        <w:tc>
          <w:tcPr>
            <w:tcW w:w="9212" w:type="dxa"/>
          </w:tcPr>
          <w:p w14:paraId="4620D230" w14:textId="6582F73A" w:rsidR="00983554" w:rsidRPr="005638EB" w:rsidRDefault="005E7E3C" w:rsidP="0036178C">
            <w:pPr>
              <w:rPr>
                <w:rFonts w:ascii="Arial Narrow" w:hAnsi="Arial Narrow"/>
              </w:rPr>
            </w:pPr>
            <w:r w:rsidRPr="005E7E3C">
              <w:rPr>
                <w:rFonts w:ascii="Arial Narrow" w:hAnsi="Arial Narrow"/>
                <w:highlight w:val="yellow"/>
              </w:rPr>
              <w:t>Eingabe von Seiten des KH</w:t>
            </w:r>
          </w:p>
        </w:tc>
      </w:tr>
    </w:tbl>
    <w:p w14:paraId="654325C8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4A6A805" w14:textId="77777777">
        <w:tc>
          <w:tcPr>
            <w:tcW w:w="9212" w:type="dxa"/>
          </w:tcPr>
          <w:p w14:paraId="5C0D4897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Entstehen durch die neue Methode Mehrkosten gegenüber dem bisher üblichen Verfahren? Wenn ja, wodurch? In welcher Höhe (möglichst aufgetrennt nach Personal- und Sachkosten)?</w:t>
            </w:r>
          </w:p>
        </w:tc>
      </w:tr>
      <w:tr w:rsidR="008E6675" w:rsidRPr="005638EB" w14:paraId="169DFC57" w14:textId="77777777">
        <w:tc>
          <w:tcPr>
            <w:tcW w:w="9212" w:type="dxa"/>
          </w:tcPr>
          <w:p w14:paraId="3EEDA800" w14:textId="77777777" w:rsidR="000B3EF3" w:rsidRPr="00852B58" w:rsidRDefault="000B3EF3" w:rsidP="000B3EF3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852B58">
              <w:rPr>
                <w:rFonts w:ascii="Arial Narrow" w:hAnsi="Arial Narrow"/>
                <w:sz w:val="22"/>
                <w:szCs w:val="22"/>
                <w:u w:val="single"/>
              </w:rPr>
              <w:t xml:space="preserve">Sachkosten: </w:t>
            </w:r>
          </w:p>
          <w:p w14:paraId="3E52D494" w14:textId="77777777" w:rsidR="000B3EF3" w:rsidRPr="00852B58" w:rsidRDefault="000B3EF3" w:rsidP="000B3EF3">
            <w:pPr>
              <w:rPr>
                <w:rFonts w:ascii="Arial Narrow" w:hAnsi="Arial Narrow"/>
                <w:sz w:val="22"/>
                <w:szCs w:val="22"/>
              </w:rPr>
            </w:pPr>
            <w:r w:rsidRPr="00852B58">
              <w:rPr>
                <w:rFonts w:ascii="Arial Narrow" w:hAnsi="Arial Narrow"/>
                <w:sz w:val="22"/>
                <w:szCs w:val="22"/>
              </w:rPr>
              <w:t xml:space="preserve">Zur Behandlung der aGvHD (geplante Indikationserweiterung) werden deutlich höhere Dosen (2- bis 4-fache Menge) benötigt. </w:t>
            </w:r>
          </w:p>
          <w:p w14:paraId="0AB1FDAC" w14:textId="77777777" w:rsidR="000B3EF3" w:rsidRPr="00852B58" w:rsidRDefault="000B3EF3" w:rsidP="000B3E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5D6308" w14:textId="77777777" w:rsidR="000B3EF3" w:rsidRPr="00852B58" w:rsidRDefault="000B3EF3" w:rsidP="000B3EF3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852B58">
              <w:rPr>
                <w:rFonts w:ascii="Arial Narrow" w:hAnsi="Arial Narrow"/>
                <w:sz w:val="22"/>
                <w:szCs w:val="22"/>
                <w:u w:val="single"/>
              </w:rPr>
              <w:t xml:space="preserve">Dosierung bisher (Indikation: Alpha1-Proteinase-Inhibitormangel): </w:t>
            </w:r>
          </w:p>
          <w:p w14:paraId="3EAD28E9" w14:textId="77777777" w:rsidR="000B3EF3" w:rsidRPr="00852B58" w:rsidRDefault="000B3EF3" w:rsidP="000B3EF3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52B5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Dosierung: </w:t>
            </w:r>
          </w:p>
          <w:p w14:paraId="140747EA" w14:textId="0057BF00" w:rsidR="000B3EF3" w:rsidRPr="00852B58" w:rsidRDefault="000B3EF3" w:rsidP="000B3EF3">
            <w:pPr>
              <w:pStyle w:val="Listenabsatz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852B58">
              <w:rPr>
                <w:rFonts w:ascii="Arial Narrow" w:hAnsi="Arial Narrow"/>
                <w:sz w:val="22"/>
                <w:szCs w:val="22"/>
              </w:rPr>
              <w:t>60 mg/kg Körpergewicht, 1x pro Woche</w:t>
            </w:r>
          </w:p>
          <w:p w14:paraId="765EAA9B" w14:textId="77777777" w:rsidR="000B3EF3" w:rsidRPr="00852B58" w:rsidRDefault="000B3EF3" w:rsidP="000B3EF3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52B58">
              <w:rPr>
                <w:rFonts w:ascii="Arial Narrow" w:hAnsi="Arial Narrow"/>
                <w:b/>
                <w:bCs/>
                <w:sz w:val="22"/>
                <w:szCs w:val="22"/>
              </w:rPr>
              <w:t>Kosten:</w:t>
            </w:r>
          </w:p>
          <w:p w14:paraId="28C3EAE8" w14:textId="1B5F4651" w:rsidR="000B3EF3" w:rsidRPr="00852B58" w:rsidRDefault="000B3EF3" w:rsidP="000B3EF3">
            <w:pPr>
              <w:pStyle w:val="Listenabsatz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852B58">
              <w:rPr>
                <w:rFonts w:ascii="Arial Narrow" w:hAnsi="Arial Narrow"/>
                <w:sz w:val="22"/>
                <w:szCs w:val="22"/>
              </w:rPr>
              <w:t>Preis für 1</w:t>
            </w:r>
            <w:r w:rsidR="00EA25AF">
              <w:rPr>
                <w:rFonts w:ascii="Arial Narrow" w:hAnsi="Arial Narrow"/>
                <w:sz w:val="22"/>
                <w:szCs w:val="22"/>
              </w:rPr>
              <w:t>.</w:t>
            </w:r>
            <w:r w:rsidRPr="00852B58">
              <w:rPr>
                <w:rFonts w:ascii="Arial Narrow" w:hAnsi="Arial Narrow"/>
                <w:sz w:val="22"/>
                <w:szCs w:val="22"/>
              </w:rPr>
              <w:t>000 mg (Taxe-Klinik-EK, Stand 15.08.24): 331,52</w:t>
            </w:r>
            <w:r w:rsidR="00506A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52B58">
              <w:rPr>
                <w:rFonts w:ascii="Arial Narrow" w:hAnsi="Arial Narrow"/>
                <w:sz w:val="22"/>
                <w:szCs w:val="22"/>
              </w:rPr>
              <w:t>€ (ca. 0,33</w:t>
            </w:r>
            <w:r w:rsidR="00506A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52B58">
              <w:rPr>
                <w:rFonts w:ascii="Arial Narrow" w:hAnsi="Arial Narrow"/>
                <w:sz w:val="22"/>
                <w:szCs w:val="22"/>
              </w:rPr>
              <w:t>€/mg)</w:t>
            </w:r>
          </w:p>
          <w:p w14:paraId="7F177DA6" w14:textId="38F3142B" w:rsidR="000B3EF3" w:rsidRPr="00EA25AF" w:rsidRDefault="000B3EF3" w:rsidP="000B3EF3">
            <w:pPr>
              <w:pStyle w:val="Listenabsatz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852B58">
              <w:rPr>
                <w:rFonts w:ascii="Arial Narrow" w:hAnsi="Arial Narrow"/>
                <w:sz w:val="22"/>
                <w:szCs w:val="22"/>
              </w:rPr>
              <w:t>Kosten pro Woche (</w:t>
            </w:r>
            <w:r w:rsidRPr="00EA25AF">
              <w:rPr>
                <w:rFonts w:ascii="Arial Narrow" w:hAnsi="Arial Narrow"/>
                <w:sz w:val="22"/>
                <w:szCs w:val="22"/>
              </w:rPr>
              <w:t>bei 7</w:t>
            </w:r>
            <w:r w:rsidR="00531428" w:rsidRPr="00EA25AF">
              <w:rPr>
                <w:rFonts w:ascii="Arial Narrow" w:hAnsi="Arial Narrow"/>
                <w:sz w:val="22"/>
                <w:szCs w:val="22"/>
              </w:rPr>
              <w:t>6</w:t>
            </w:r>
            <w:r w:rsidR="00506AAF" w:rsidRPr="00EA25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A25AF">
              <w:rPr>
                <w:rFonts w:ascii="Arial Narrow" w:hAnsi="Arial Narrow"/>
                <w:sz w:val="22"/>
                <w:szCs w:val="22"/>
              </w:rPr>
              <w:t>kg): 60 mg</w:t>
            </w:r>
            <w:r w:rsidR="00531428" w:rsidRPr="00EA25AF">
              <w:rPr>
                <w:rFonts w:ascii="Arial Narrow" w:hAnsi="Arial Narrow"/>
                <w:sz w:val="22"/>
                <w:szCs w:val="22"/>
              </w:rPr>
              <w:t>/kg</w:t>
            </w:r>
            <w:r w:rsidRPr="00EA25AF">
              <w:rPr>
                <w:rFonts w:ascii="Arial Narrow" w:hAnsi="Arial Narrow"/>
                <w:sz w:val="22"/>
                <w:szCs w:val="22"/>
              </w:rPr>
              <w:t xml:space="preserve"> x 7</w:t>
            </w:r>
            <w:r w:rsidR="008C585E" w:rsidRPr="00EA25AF">
              <w:rPr>
                <w:rFonts w:ascii="Arial Narrow" w:hAnsi="Arial Narrow"/>
                <w:sz w:val="22"/>
                <w:szCs w:val="22"/>
              </w:rPr>
              <w:t>6</w:t>
            </w:r>
            <w:r w:rsidRPr="00EA25AF">
              <w:rPr>
                <w:rFonts w:ascii="Arial Narrow" w:hAnsi="Arial Narrow"/>
                <w:sz w:val="22"/>
                <w:szCs w:val="22"/>
              </w:rPr>
              <w:t xml:space="preserve"> kg x 1 x 0,33</w:t>
            </w:r>
            <w:r w:rsidR="00506AAF" w:rsidRPr="00EA25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A25AF">
              <w:rPr>
                <w:rFonts w:ascii="Arial Narrow" w:hAnsi="Arial Narrow"/>
                <w:sz w:val="22"/>
                <w:szCs w:val="22"/>
              </w:rPr>
              <w:t>€/mg = 1.</w:t>
            </w:r>
            <w:r w:rsidR="008C585E" w:rsidRPr="00EA25AF">
              <w:rPr>
                <w:rFonts w:ascii="Arial Narrow" w:hAnsi="Arial Narrow"/>
                <w:sz w:val="22"/>
                <w:szCs w:val="22"/>
              </w:rPr>
              <w:t>504,80</w:t>
            </w:r>
            <w:r w:rsidR="00506AAF" w:rsidRPr="00EA25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A25AF">
              <w:rPr>
                <w:rFonts w:ascii="Arial Narrow" w:hAnsi="Arial Narrow"/>
                <w:sz w:val="22"/>
                <w:szCs w:val="22"/>
              </w:rPr>
              <w:t>€</w:t>
            </w:r>
          </w:p>
          <w:p w14:paraId="433C526C" w14:textId="77777777" w:rsidR="000B3EF3" w:rsidRPr="00852B58" w:rsidRDefault="000B3EF3" w:rsidP="000B3E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C32E2A8" w14:textId="77777777" w:rsidR="000B3EF3" w:rsidRPr="00852B58" w:rsidRDefault="000B3EF3" w:rsidP="000B3EF3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852B58">
              <w:rPr>
                <w:rFonts w:ascii="Arial Narrow" w:hAnsi="Arial Narrow"/>
                <w:sz w:val="22"/>
                <w:szCs w:val="22"/>
                <w:u w:val="single"/>
              </w:rPr>
              <w:t xml:space="preserve">Behandlung im Indikationsgebiet aGvHD: </w:t>
            </w:r>
          </w:p>
          <w:p w14:paraId="472E36AD" w14:textId="77777777" w:rsidR="000B3EF3" w:rsidRPr="00852B58" w:rsidRDefault="000B3EF3" w:rsidP="000B3EF3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52B58">
              <w:rPr>
                <w:rFonts w:ascii="Arial Narrow" w:hAnsi="Arial Narrow"/>
                <w:b/>
                <w:bCs/>
                <w:sz w:val="22"/>
                <w:szCs w:val="22"/>
              </w:rPr>
              <w:t>Dosierung:</w:t>
            </w:r>
          </w:p>
          <w:p w14:paraId="52F45733" w14:textId="45DAC120" w:rsidR="000B3EF3" w:rsidRPr="00852B58" w:rsidRDefault="000B3EF3" w:rsidP="000B3EF3">
            <w:pPr>
              <w:pStyle w:val="Listenabsatz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00852B58">
              <w:rPr>
                <w:rFonts w:ascii="Arial Narrow" w:hAnsi="Arial Narrow"/>
                <w:sz w:val="22"/>
                <w:szCs w:val="22"/>
              </w:rPr>
              <w:t>Initial: 120 mg/kg Körpergewicht, 2x pro Woche über 4 Wochen</w:t>
            </w:r>
          </w:p>
          <w:p w14:paraId="02C21CE4" w14:textId="66D6E5D1" w:rsidR="000B3EF3" w:rsidRPr="00852B58" w:rsidRDefault="000B3EF3" w:rsidP="000B3EF3">
            <w:pPr>
              <w:pStyle w:val="Listenabsatz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00852B58">
              <w:rPr>
                <w:rFonts w:ascii="Arial Narrow" w:hAnsi="Arial Narrow"/>
                <w:sz w:val="22"/>
                <w:szCs w:val="22"/>
              </w:rPr>
              <w:t>Bei Response zudem: 120 mg/kg Körpergewicht, 1x pro Woche über 4 Wochen</w:t>
            </w:r>
          </w:p>
          <w:p w14:paraId="6BDB16BD" w14:textId="0913BB44" w:rsidR="000B3EF3" w:rsidRPr="00EA25AF" w:rsidRDefault="000B3EF3" w:rsidP="000B3EF3">
            <w:pPr>
              <w:pStyle w:val="Listenabsatz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00EA25AF">
              <w:rPr>
                <w:rFonts w:ascii="Arial Narrow" w:hAnsi="Arial Narrow"/>
                <w:sz w:val="22"/>
                <w:szCs w:val="22"/>
              </w:rPr>
              <w:t>Menge für 8 Wochen (bei 7</w:t>
            </w:r>
            <w:r w:rsidR="00EF7F7F" w:rsidRPr="00EA25AF">
              <w:rPr>
                <w:rFonts w:ascii="Arial Narrow" w:hAnsi="Arial Narrow"/>
                <w:sz w:val="22"/>
                <w:szCs w:val="22"/>
              </w:rPr>
              <w:t>6</w:t>
            </w:r>
            <w:r w:rsidRPr="00EA25AF">
              <w:rPr>
                <w:rFonts w:ascii="Arial Narrow" w:hAnsi="Arial Narrow"/>
                <w:sz w:val="22"/>
                <w:szCs w:val="22"/>
              </w:rPr>
              <w:t xml:space="preserve"> kg): </w:t>
            </w:r>
            <w:r w:rsidR="00612162" w:rsidRPr="00EA25AF">
              <w:rPr>
                <w:rFonts w:ascii="Arial Narrow" w:hAnsi="Arial Narrow"/>
                <w:sz w:val="22"/>
                <w:szCs w:val="22"/>
              </w:rPr>
              <w:t>109.440</w:t>
            </w:r>
            <w:r w:rsidRPr="00EA25AF">
              <w:rPr>
                <w:rFonts w:ascii="Arial Narrow" w:hAnsi="Arial Narrow"/>
                <w:sz w:val="22"/>
                <w:szCs w:val="22"/>
              </w:rPr>
              <w:t xml:space="preserve"> mg (</w:t>
            </w:r>
            <w:r w:rsidR="00EF7F7F" w:rsidRPr="00EA25AF">
              <w:rPr>
                <w:rFonts w:ascii="Arial Narrow" w:hAnsi="Arial Narrow"/>
                <w:sz w:val="22"/>
                <w:szCs w:val="22"/>
              </w:rPr>
              <w:t>72.960</w:t>
            </w:r>
            <w:r w:rsidRPr="00EA25AF">
              <w:rPr>
                <w:rFonts w:ascii="Arial Narrow" w:hAnsi="Arial Narrow"/>
                <w:sz w:val="22"/>
                <w:szCs w:val="22"/>
              </w:rPr>
              <w:t xml:space="preserve"> mg in den ersten vier Wochen + </w:t>
            </w:r>
            <w:r w:rsidR="00237AB4" w:rsidRPr="00EA25AF">
              <w:rPr>
                <w:rFonts w:ascii="Arial Narrow" w:hAnsi="Arial Narrow"/>
                <w:sz w:val="22"/>
                <w:szCs w:val="22"/>
              </w:rPr>
              <w:t>36.480</w:t>
            </w:r>
            <w:r w:rsidRPr="00EA25AF">
              <w:rPr>
                <w:rFonts w:ascii="Arial Narrow" w:hAnsi="Arial Narrow"/>
                <w:sz w:val="22"/>
                <w:szCs w:val="22"/>
              </w:rPr>
              <w:t xml:space="preserve"> mg in den letzten 4 Wochen</w:t>
            </w:r>
          </w:p>
          <w:p w14:paraId="4F044E8B" w14:textId="49CA1838" w:rsidR="000B3EF3" w:rsidRPr="00EA25AF" w:rsidRDefault="000B3EF3" w:rsidP="000B3EF3">
            <w:pPr>
              <w:pStyle w:val="Listenabsatz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00EA25AF">
              <w:rPr>
                <w:rFonts w:ascii="Arial Narrow" w:hAnsi="Arial Narrow"/>
                <w:sz w:val="22"/>
                <w:szCs w:val="22"/>
              </w:rPr>
              <w:t>Menge pro Woche (im Schnitt</w:t>
            </w:r>
            <w:r w:rsidR="00685AFE" w:rsidRPr="00EA25AF">
              <w:rPr>
                <w:rFonts w:ascii="Arial Narrow" w:hAnsi="Arial Narrow"/>
                <w:sz w:val="22"/>
                <w:szCs w:val="22"/>
              </w:rPr>
              <w:t>;</w:t>
            </w:r>
            <w:r w:rsidRPr="00EA25AF">
              <w:rPr>
                <w:rFonts w:ascii="Arial Narrow" w:hAnsi="Arial Narrow"/>
                <w:sz w:val="22"/>
                <w:szCs w:val="22"/>
              </w:rPr>
              <w:t xml:space="preserve"> bei 7</w:t>
            </w:r>
            <w:r w:rsidR="00DA633D" w:rsidRPr="00EA25AF">
              <w:rPr>
                <w:rFonts w:ascii="Arial Narrow" w:hAnsi="Arial Narrow"/>
                <w:sz w:val="22"/>
                <w:szCs w:val="22"/>
              </w:rPr>
              <w:t>6</w:t>
            </w:r>
            <w:r w:rsidR="00506AAF" w:rsidRPr="00EA25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A25AF">
              <w:rPr>
                <w:rFonts w:ascii="Arial Narrow" w:hAnsi="Arial Narrow"/>
                <w:sz w:val="22"/>
                <w:szCs w:val="22"/>
              </w:rPr>
              <w:t xml:space="preserve">kg): </w:t>
            </w:r>
            <w:r w:rsidR="00612162" w:rsidRPr="00EA25AF">
              <w:rPr>
                <w:rFonts w:ascii="Arial Narrow" w:hAnsi="Arial Narrow"/>
                <w:sz w:val="22"/>
                <w:szCs w:val="22"/>
              </w:rPr>
              <w:t>109.440</w:t>
            </w:r>
            <w:r w:rsidRPr="00EA25AF">
              <w:rPr>
                <w:rFonts w:ascii="Arial Narrow" w:hAnsi="Arial Narrow"/>
                <w:sz w:val="22"/>
                <w:szCs w:val="22"/>
              </w:rPr>
              <w:t xml:space="preserve"> mg/8 Wochen = </w:t>
            </w:r>
            <w:r w:rsidR="00DA633D" w:rsidRPr="00EA25AF">
              <w:rPr>
                <w:rFonts w:ascii="Arial Narrow" w:hAnsi="Arial Narrow"/>
                <w:sz w:val="22"/>
                <w:szCs w:val="22"/>
              </w:rPr>
              <w:t>13.680</w:t>
            </w:r>
            <w:r w:rsidRPr="00EA25AF">
              <w:rPr>
                <w:rFonts w:ascii="Arial Narrow" w:hAnsi="Arial Narrow"/>
                <w:sz w:val="22"/>
                <w:szCs w:val="22"/>
              </w:rPr>
              <w:t xml:space="preserve"> mg</w:t>
            </w:r>
          </w:p>
          <w:p w14:paraId="7345FB0B" w14:textId="77777777" w:rsidR="000B3EF3" w:rsidRPr="00852B58" w:rsidRDefault="000B3EF3" w:rsidP="000B3EF3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52B58">
              <w:rPr>
                <w:rFonts w:ascii="Arial Narrow" w:hAnsi="Arial Narrow"/>
                <w:b/>
                <w:bCs/>
                <w:sz w:val="22"/>
                <w:szCs w:val="22"/>
              </w:rPr>
              <w:t>Kosten:</w:t>
            </w:r>
          </w:p>
          <w:p w14:paraId="5EBCB8F3" w14:textId="36798C46" w:rsidR="000B3EF3" w:rsidRPr="00EA25AF" w:rsidRDefault="000B3EF3" w:rsidP="000B3EF3">
            <w:pPr>
              <w:pStyle w:val="Listenabsatz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00EA25AF">
              <w:rPr>
                <w:rFonts w:ascii="Arial Narrow" w:hAnsi="Arial Narrow"/>
                <w:sz w:val="22"/>
                <w:szCs w:val="22"/>
              </w:rPr>
              <w:t>Kosten für 8 Wochen (bei 7</w:t>
            </w:r>
            <w:r w:rsidR="008E4830" w:rsidRPr="00EA25AF">
              <w:rPr>
                <w:rFonts w:ascii="Arial Narrow" w:hAnsi="Arial Narrow"/>
                <w:sz w:val="22"/>
                <w:szCs w:val="22"/>
              </w:rPr>
              <w:t>6</w:t>
            </w:r>
            <w:r w:rsidRPr="00EA25AF">
              <w:rPr>
                <w:rFonts w:ascii="Arial Narrow" w:hAnsi="Arial Narrow"/>
                <w:sz w:val="22"/>
                <w:szCs w:val="22"/>
              </w:rPr>
              <w:t xml:space="preserve"> kg): </w:t>
            </w:r>
            <w:r w:rsidR="00685AFE" w:rsidRPr="00EA25AF">
              <w:rPr>
                <w:rFonts w:ascii="Arial Narrow" w:hAnsi="Arial Narrow"/>
                <w:sz w:val="22"/>
                <w:szCs w:val="22"/>
              </w:rPr>
              <w:t>109.440 mg</w:t>
            </w:r>
            <w:r w:rsidRPr="00EA25AF">
              <w:rPr>
                <w:rFonts w:ascii="Arial Narrow" w:hAnsi="Arial Narrow"/>
                <w:sz w:val="22"/>
                <w:szCs w:val="22"/>
              </w:rPr>
              <w:t xml:space="preserve"> * 0,33</w:t>
            </w:r>
            <w:r w:rsidR="00506AAF" w:rsidRPr="00EA25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A25AF">
              <w:rPr>
                <w:rFonts w:ascii="Arial Narrow" w:hAnsi="Arial Narrow"/>
                <w:sz w:val="22"/>
                <w:szCs w:val="22"/>
              </w:rPr>
              <w:t xml:space="preserve">€/mg = </w:t>
            </w:r>
            <w:r w:rsidR="008E4830" w:rsidRPr="00EA25AF">
              <w:rPr>
                <w:rFonts w:ascii="Arial Narrow" w:hAnsi="Arial Narrow"/>
                <w:sz w:val="22"/>
                <w:szCs w:val="22"/>
              </w:rPr>
              <w:t>36.115,20</w:t>
            </w:r>
            <w:r w:rsidR="00506AAF" w:rsidRPr="00EA25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A25AF">
              <w:rPr>
                <w:rFonts w:ascii="Arial Narrow" w:hAnsi="Arial Narrow"/>
                <w:sz w:val="22"/>
                <w:szCs w:val="22"/>
              </w:rPr>
              <w:t>€</w:t>
            </w:r>
          </w:p>
          <w:p w14:paraId="0910281C" w14:textId="247092BA" w:rsidR="000B3EF3" w:rsidRPr="00EA25AF" w:rsidRDefault="000B3EF3" w:rsidP="000B3EF3">
            <w:pPr>
              <w:pStyle w:val="Listenabsatz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00EA25AF">
              <w:rPr>
                <w:rFonts w:ascii="Arial Narrow" w:hAnsi="Arial Narrow"/>
                <w:sz w:val="22"/>
                <w:szCs w:val="22"/>
              </w:rPr>
              <w:t>Kosten pro Woche (im Schnitt, bei 7</w:t>
            </w:r>
            <w:r w:rsidR="008E4830" w:rsidRPr="00EA25AF">
              <w:rPr>
                <w:rFonts w:ascii="Arial Narrow" w:hAnsi="Arial Narrow"/>
                <w:sz w:val="22"/>
                <w:szCs w:val="22"/>
              </w:rPr>
              <w:t>6</w:t>
            </w:r>
            <w:r w:rsidR="00F27D62" w:rsidRPr="00EA25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A25AF">
              <w:rPr>
                <w:rFonts w:ascii="Arial Narrow" w:hAnsi="Arial Narrow"/>
                <w:sz w:val="22"/>
                <w:szCs w:val="22"/>
              </w:rPr>
              <w:t xml:space="preserve">kg): </w:t>
            </w:r>
            <w:r w:rsidR="00852B58" w:rsidRPr="00EA25AF">
              <w:rPr>
                <w:rFonts w:ascii="Arial Narrow" w:hAnsi="Arial Narrow"/>
                <w:sz w:val="22"/>
                <w:szCs w:val="22"/>
              </w:rPr>
              <w:t>13.680</w:t>
            </w:r>
            <w:r w:rsidRPr="00EA25AF">
              <w:rPr>
                <w:rFonts w:ascii="Arial Narrow" w:hAnsi="Arial Narrow"/>
                <w:sz w:val="22"/>
                <w:szCs w:val="22"/>
              </w:rPr>
              <w:t xml:space="preserve"> mg x 0,33</w:t>
            </w:r>
            <w:r w:rsidR="00506AAF" w:rsidRPr="00EA25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A25AF">
              <w:rPr>
                <w:rFonts w:ascii="Arial Narrow" w:hAnsi="Arial Narrow"/>
                <w:sz w:val="22"/>
                <w:szCs w:val="22"/>
              </w:rPr>
              <w:t xml:space="preserve">€/mg = </w:t>
            </w:r>
            <w:r w:rsidR="00852B58" w:rsidRPr="00EA25AF">
              <w:rPr>
                <w:rFonts w:ascii="Arial Narrow" w:hAnsi="Arial Narrow"/>
                <w:sz w:val="22"/>
                <w:szCs w:val="22"/>
              </w:rPr>
              <w:t>4.514,40</w:t>
            </w:r>
            <w:r w:rsidR="00506AAF" w:rsidRPr="00EA25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A25AF">
              <w:rPr>
                <w:rFonts w:ascii="Arial Narrow" w:hAnsi="Arial Narrow"/>
                <w:sz w:val="22"/>
                <w:szCs w:val="22"/>
              </w:rPr>
              <w:t>€</w:t>
            </w:r>
          </w:p>
          <w:p w14:paraId="5DF80030" w14:textId="77777777" w:rsidR="00852B58" w:rsidRPr="00852B58" w:rsidRDefault="00852B58" w:rsidP="000B3E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BDF67E1" w14:textId="3A475797" w:rsidR="000B3EF3" w:rsidRPr="00852B58" w:rsidRDefault="000B3EF3" w:rsidP="000B3EF3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852B58">
              <w:rPr>
                <w:rFonts w:ascii="Arial Narrow" w:hAnsi="Arial Narrow"/>
                <w:sz w:val="22"/>
                <w:szCs w:val="22"/>
                <w:u w:val="single"/>
              </w:rPr>
              <w:lastRenderedPageBreak/>
              <w:t>Personalkosten:</w:t>
            </w:r>
          </w:p>
          <w:p w14:paraId="54A0F4EF" w14:textId="59AC2A60" w:rsidR="000B3EF3" w:rsidRPr="00852B58" w:rsidRDefault="000B3EF3" w:rsidP="000B3EF3">
            <w:pPr>
              <w:rPr>
                <w:rFonts w:ascii="Arial Narrow" w:hAnsi="Arial Narrow"/>
                <w:sz w:val="22"/>
                <w:szCs w:val="22"/>
              </w:rPr>
            </w:pPr>
            <w:r w:rsidRPr="00852B58">
              <w:rPr>
                <w:rFonts w:ascii="Arial Narrow" w:hAnsi="Arial Narrow"/>
                <w:sz w:val="22"/>
                <w:szCs w:val="22"/>
              </w:rPr>
              <w:t>Für die Zubereitung: ca. 5 Minuten</w:t>
            </w:r>
          </w:p>
          <w:p w14:paraId="16BA3177" w14:textId="647BE935" w:rsidR="00591F21" w:rsidRPr="00852B58" w:rsidRDefault="000B3EF3" w:rsidP="000B3EF3">
            <w:pPr>
              <w:rPr>
                <w:rFonts w:ascii="Arial Narrow" w:hAnsi="Arial Narrow"/>
                <w:sz w:val="22"/>
                <w:szCs w:val="22"/>
              </w:rPr>
            </w:pPr>
            <w:r w:rsidRPr="00852B58">
              <w:rPr>
                <w:rFonts w:ascii="Arial Narrow" w:hAnsi="Arial Narrow"/>
                <w:sz w:val="22"/>
                <w:szCs w:val="22"/>
              </w:rPr>
              <w:t>Für die Applikation: ca. 5 Minuten</w:t>
            </w:r>
          </w:p>
          <w:p w14:paraId="3F5F48A9" w14:textId="77777777" w:rsidR="00591F21" w:rsidRDefault="00591F21" w:rsidP="00D9022C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14:paraId="7D03D20B" w14:textId="62C6692C" w:rsidR="00156FE0" w:rsidRPr="008C21A3" w:rsidRDefault="00156FE0" w:rsidP="00D9022C">
            <w:pPr>
              <w:rPr>
                <w:rFonts w:ascii="Arial Narrow" w:hAnsi="Arial Narrow"/>
                <w:color w:val="548DD4" w:themeColor="text2" w:themeTint="99"/>
                <w:sz w:val="22"/>
                <w:szCs w:val="22"/>
              </w:rPr>
            </w:pPr>
          </w:p>
        </w:tc>
      </w:tr>
    </w:tbl>
    <w:p w14:paraId="45E65153" w14:textId="77777777" w:rsidR="008E6675" w:rsidRPr="005638EB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D84EF57" w14:textId="77777777">
        <w:tc>
          <w:tcPr>
            <w:tcW w:w="9212" w:type="dxa"/>
          </w:tcPr>
          <w:p w14:paraId="2FCAAE14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Welche DRG(s) ist/sind am häufigsten von dieser Methode betroffen?</w:t>
            </w:r>
          </w:p>
        </w:tc>
      </w:tr>
      <w:tr w:rsidR="008E6675" w:rsidRPr="005638EB" w14:paraId="56F9F66E" w14:textId="77777777">
        <w:tc>
          <w:tcPr>
            <w:tcW w:w="9212" w:type="dxa"/>
          </w:tcPr>
          <w:p w14:paraId="1F6E12F6" w14:textId="77777777" w:rsidR="00CA59E9" w:rsidRPr="00CA59E9" w:rsidRDefault="00CA59E9" w:rsidP="00CA59E9">
            <w:pPr>
              <w:rPr>
                <w:rFonts w:ascii="Arial Narrow" w:hAnsi="Arial Narrow"/>
                <w:sz w:val="22"/>
              </w:rPr>
            </w:pPr>
            <w:r w:rsidRPr="00CA59E9">
              <w:rPr>
                <w:rFonts w:ascii="Arial Narrow" w:hAnsi="Arial Narrow"/>
                <w:sz w:val="22"/>
              </w:rPr>
              <w:t>Bei Kodierung der Gabe des</w:t>
            </w:r>
            <w:r w:rsidRPr="00CA59E9">
              <w:t xml:space="preserve"> </w:t>
            </w:r>
            <w:r w:rsidRPr="00CA59E9">
              <w:rPr>
                <w:rFonts w:ascii="Arial Narrow" w:hAnsi="Arial Narrow"/>
                <w:sz w:val="22"/>
              </w:rPr>
              <w:t>Alpha-1-Proteinaseninhibitors (OPS-Kodes 8-812.-):</w:t>
            </w:r>
          </w:p>
          <w:p w14:paraId="5CDA1BAA" w14:textId="77777777" w:rsidR="00CA59E9" w:rsidRPr="00CA59E9" w:rsidRDefault="00CA59E9" w:rsidP="00CA59E9">
            <w:pPr>
              <w:rPr>
                <w:rFonts w:ascii="Arial Narrow" w:hAnsi="Arial Narrow"/>
                <w:sz w:val="22"/>
              </w:rPr>
            </w:pPr>
            <w:r w:rsidRPr="00CA59E9">
              <w:rPr>
                <w:rFonts w:ascii="Arial Narrow" w:hAnsi="Arial Narrow"/>
                <w:sz w:val="22"/>
              </w:rPr>
              <w:t>E65B, A36B, E65C, E79C</w:t>
            </w:r>
          </w:p>
          <w:p w14:paraId="366440B8" w14:textId="77777777" w:rsidR="00CA59E9" w:rsidRPr="00CA59E9" w:rsidRDefault="00CA59E9" w:rsidP="00CA59E9">
            <w:pPr>
              <w:rPr>
                <w:rFonts w:ascii="Arial Narrow" w:hAnsi="Arial Narrow"/>
                <w:sz w:val="22"/>
              </w:rPr>
            </w:pPr>
          </w:p>
          <w:p w14:paraId="3F13A544" w14:textId="77777777" w:rsidR="00CA59E9" w:rsidRPr="00CA59E9" w:rsidRDefault="00CA59E9" w:rsidP="00CA59E9">
            <w:pPr>
              <w:rPr>
                <w:rFonts w:ascii="Arial Narrow" w:hAnsi="Arial Narrow"/>
                <w:sz w:val="22"/>
              </w:rPr>
            </w:pPr>
            <w:r w:rsidRPr="00CA59E9">
              <w:rPr>
                <w:rFonts w:ascii="Arial Narrow" w:hAnsi="Arial Narrow"/>
                <w:sz w:val="22"/>
              </w:rPr>
              <w:t>Bei Kodierung der aGvHD als Nebendiagnose (ICD: T86.01 und T86.02), resultieren u.a. die folgenden DRGs:</w:t>
            </w:r>
          </w:p>
          <w:p w14:paraId="3FDE8751" w14:textId="4F1128DB" w:rsidR="008E6675" w:rsidRPr="00A100DC" w:rsidRDefault="00CA59E9" w:rsidP="00CA59E9">
            <w:pPr>
              <w:rPr>
                <w:rFonts w:ascii="Arial Narrow" w:hAnsi="Arial Narrow"/>
                <w:color w:val="00B050"/>
                <w:sz w:val="22"/>
              </w:rPr>
            </w:pPr>
            <w:r w:rsidRPr="00CA59E9">
              <w:rPr>
                <w:rFonts w:ascii="Arial Narrow" w:hAnsi="Arial Narrow"/>
                <w:sz w:val="22"/>
                <w:lang w:val="en-US"/>
              </w:rPr>
              <w:t xml:space="preserve">A04E, A04D, A04C, A36A, A61A, A61C, A36B, R60D. </w:t>
            </w:r>
            <w:r w:rsidRPr="00CA59E9">
              <w:rPr>
                <w:rFonts w:ascii="Arial Narrow" w:hAnsi="Arial Narrow"/>
                <w:sz w:val="22"/>
              </w:rPr>
              <w:t>Ähnliche DRGs sind für den Einsatz im Indikationsgebiet aGvHD zu erwarten.</w:t>
            </w:r>
          </w:p>
        </w:tc>
      </w:tr>
    </w:tbl>
    <w:p w14:paraId="4E6FC927" w14:textId="77777777" w:rsidR="008E6675" w:rsidRPr="005638EB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4E9DF4AB" w14:textId="77777777">
        <w:tc>
          <w:tcPr>
            <w:tcW w:w="9212" w:type="dxa"/>
          </w:tcPr>
          <w:p w14:paraId="3184CC4A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Warum ist diese Methode aus Ihrer Sicht derzeit im G-DRG-System nicht sachgerecht abgebildet?</w:t>
            </w:r>
          </w:p>
        </w:tc>
      </w:tr>
      <w:tr w:rsidR="008E6675" w:rsidRPr="0084651C" w14:paraId="3100E4A7" w14:textId="77777777">
        <w:tc>
          <w:tcPr>
            <w:tcW w:w="9212" w:type="dxa"/>
          </w:tcPr>
          <w:p w14:paraId="25682B30" w14:textId="70BDA0F0" w:rsidR="00A965A3" w:rsidRPr="00CC255B" w:rsidRDefault="00A965A3" w:rsidP="00A965A3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C255B">
              <w:rPr>
                <w:rFonts w:ascii="Arial Narrow" w:hAnsi="Arial Narrow"/>
                <w:sz w:val="22"/>
              </w:rPr>
              <w:t>Respreeza</w:t>
            </w:r>
            <w:proofErr w:type="spellEnd"/>
            <w:r w:rsidRPr="00CC255B">
              <w:rPr>
                <w:rFonts w:ascii="Arial Narrow" w:hAnsi="Arial Narrow"/>
                <w:sz w:val="22"/>
              </w:rPr>
              <w:t xml:space="preserve"> ist derzeit noch nicht im Indikationsgebiet aGvHD zugelassen. Für das Datenjahr 2023 können </w:t>
            </w:r>
            <w:r w:rsidRPr="00CC255B">
              <w:rPr>
                <w:rFonts w:ascii="Arial Narrow" w:hAnsi="Arial Narrow"/>
                <w:sz w:val="22"/>
                <w:szCs w:val="22"/>
              </w:rPr>
              <w:t xml:space="preserve">daher aus den Kalkulationshäusern keine Kostendaten für den Einsatz in diesem Indikationsgebiet vorliegen. </w:t>
            </w:r>
          </w:p>
          <w:p w14:paraId="284D9406" w14:textId="35D3FCDE" w:rsidR="00A965A3" w:rsidRPr="00CC255B" w:rsidRDefault="00A965A3" w:rsidP="00A965A3">
            <w:pPr>
              <w:rPr>
                <w:rFonts w:ascii="Arial Narrow" w:hAnsi="Arial Narrow"/>
                <w:sz w:val="22"/>
                <w:szCs w:val="22"/>
              </w:rPr>
            </w:pPr>
            <w:r w:rsidRPr="00CC255B">
              <w:rPr>
                <w:rFonts w:ascii="Arial Narrow" w:hAnsi="Arial Narrow"/>
                <w:sz w:val="22"/>
                <w:szCs w:val="22"/>
              </w:rPr>
              <w:t>Da 1) die benötigte Dosis zur Behandlung der aGvHD deutlich höher sein wird (2- bis 4-fache Menge), und 2) im neuen Indikationsgebiet v</w:t>
            </w:r>
            <w:r w:rsidR="00506AAF">
              <w:rPr>
                <w:rFonts w:ascii="Arial Narrow" w:hAnsi="Arial Narrow"/>
                <w:sz w:val="22"/>
                <w:szCs w:val="22"/>
              </w:rPr>
              <w:t>oraus</w:t>
            </w:r>
            <w:r w:rsidRPr="00CC255B">
              <w:rPr>
                <w:rFonts w:ascii="Arial Narrow" w:hAnsi="Arial Narrow"/>
                <w:sz w:val="22"/>
                <w:szCs w:val="22"/>
              </w:rPr>
              <w:t>s</w:t>
            </w:r>
            <w:r w:rsidR="00506AAF">
              <w:rPr>
                <w:rFonts w:ascii="Arial Narrow" w:hAnsi="Arial Narrow"/>
                <w:sz w:val="22"/>
                <w:szCs w:val="22"/>
              </w:rPr>
              <w:t>icht</w:t>
            </w:r>
            <w:r w:rsidRPr="00CC255B">
              <w:rPr>
                <w:rFonts w:ascii="Arial Narrow" w:hAnsi="Arial Narrow"/>
                <w:sz w:val="22"/>
                <w:szCs w:val="22"/>
              </w:rPr>
              <w:t>l</w:t>
            </w:r>
            <w:r w:rsidR="00506AAF">
              <w:rPr>
                <w:rFonts w:ascii="Arial Narrow" w:hAnsi="Arial Narrow"/>
                <w:sz w:val="22"/>
                <w:szCs w:val="22"/>
              </w:rPr>
              <w:t>ich</w:t>
            </w:r>
            <w:r w:rsidRPr="00CC255B">
              <w:rPr>
                <w:rFonts w:ascii="Arial Narrow" w:hAnsi="Arial Narrow"/>
                <w:sz w:val="22"/>
                <w:szCs w:val="22"/>
              </w:rPr>
              <w:t xml:space="preserve"> andere DRGs resultieren werden, wird eine sachgerechte Abbildung im G-DRG System nicht möglich. </w:t>
            </w:r>
          </w:p>
          <w:p w14:paraId="43347DE0" w14:textId="4D20BB86" w:rsidR="00A965A3" w:rsidRPr="00EA25AF" w:rsidRDefault="00A965A3" w:rsidP="00A965A3">
            <w:pPr>
              <w:rPr>
                <w:rFonts w:ascii="Arial Narrow" w:hAnsi="Arial Narrow"/>
                <w:sz w:val="22"/>
              </w:rPr>
            </w:pPr>
            <w:r w:rsidRPr="00EA25AF">
              <w:rPr>
                <w:rFonts w:ascii="Arial Narrow" w:hAnsi="Arial Narrow"/>
                <w:sz w:val="22"/>
              </w:rPr>
              <w:t xml:space="preserve">Die zusätzlichen Kosten von ca. </w:t>
            </w:r>
            <w:r w:rsidR="00CC255B" w:rsidRPr="00EA25AF">
              <w:rPr>
                <w:rFonts w:ascii="Arial Narrow" w:hAnsi="Arial Narrow"/>
                <w:sz w:val="22"/>
                <w:szCs w:val="22"/>
              </w:rPr>
              <w:t>4.514,40</w:t>
            </w:r>
            <w:r w:rsidR="00506AAF" w:rsidRPr="00EA25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C255B" w:rsidRPr="00EA25AF">
              <w:rPr>
                <w:rFonts w:ascii="Arial Narrow" w:hAnsi="Arial Narrow"/>
                <w:sz w:val="22"/>
                <w:szCs w:val="22"/>
              </w:rPr>
              <w:t xml:space="preserve">€ </w:t>
            </w:r>
            <w:r w:rsidRPr="00EA25AF">
              <w:rPr>
                <w:rFonts w:ascii="Arial Narrow" w:hAnsi="Arial Narrow"/>
                <w:sz w:val="22"/>
              </w:rPr>
              <w:t>pro Woche bzw.</w:t>
            </w:r>
            <w:r w:rsidRPr="00EA25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C255B" w:rsidRPr="00EA25AF">
              <w:rPr>
                <w:rFonts w:ascii="Arial Narrow" w:hAnsi="Arial Narrow"/>
                <w:sz w:val="22"/>
                <w:szCs w:val="22"/>
              </w:rPr>
              <w:t>36.115,20</w:t>
            </w:r>
            <w:r w:rsidR="00506AAF" w:rsidRPr="00EA25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C255B" w:rsidRPr="00EA25AF">
              <w:rPr>
                <w:rFonts w:ascii="Arial Narrow" w:hAnsi="Arial Narrow"/>
                <w:sz w:val="22"/>
                <w:szCs w:val="22"/>
              </w:rPr>
              <w:t xml:space="preserve">€ </w:t>
            </w:r>
            <w:r w:rsidRPr="00EA25AF">
              <w:rPr>
                <w:rFonts w:ascii="Arial Narrow" w:hAnsi="Arial Narrow"/>
                <w:sz w:val="22"/>
                <w:szCs w:val="22"/>
              </w:rPr>
              <w:t>für 8 Wochen</w:t>
            </w:r>
            <w:r w:rsidRPr="00EA25AF">
              <w:rPr>
                <w:rFonts w:ascii="Arial Narrow" w:hAnsi="Arial Narrow"/>
                <w:sz w:val="22"/>
              </w:rPr>
              <w:t xml:space="preserve"> können aber mit den o. g. Fallpauschalen allein nicht ausreichend abgebildet werden. </w:t>
            </w:r>
          </w:p>
          <w:p w14:paraId="4FCDD018" w14:textId="5F335AE5" w:rsidR="00A965A3" w:rsidRPr="00CC255B" w:rsidRDefault="00A965A3" w:rsidP="00A965A3">
            <w:pPr>
              <w:rPr>
                <w:rFonts w:ascii="Arial Narrow" w:hAnsi="Arial Narrow"/>
                <w:sz w:val="22"/>
              </w:rPr>
            </w:pPr>
            <w:r w:rsidRPr="00EA25AF">
              <w:rPr>
                <w:rFonts w:ascii="Arial Narrow" w:hAnsi="Arial Narrow"/>
                <w:sz w:val="22"/>
              </w:rPr>
              <w:t xml:space="preserve">Auch das bestehende Zusatzentgelt bildet die Kosten nicht ab, da dieses nur bis zu einer Dosis von 39.600 mg definiert ist (benötigt werden für das Indikationsgebiet aGvHD hingegen ca. </w:t>
            </w:r>
            <w:r w:rsidR="00CC255B" w:rsidRPr="00EA25AF">
              <w:rPr>
                <w:rFonts w:ascii="Arial Narrow" w:hAnsi="Arial Narrow"/>
                <w:sz w:val="22"/>
                <w:szCs w:val="22"/>
              </w:rPr>
              <w:t>109.440 mg</w:t>
            </w:r>
            <w:r w:rsidRPr="00EA25AF">
              <w:rPr>
                <w:rFonts w:ascii="Arial Narrow" w:hAnsi="Arial Narrow"/>
                <w:sz w:val="22"/>
              </w:rPr>
              <w:t>).</w:t>
            </w:r>
            <w:r w:rsidRPr="00CC255B">
              <w:rPr>
                <w:rFonts w:ascii="Arial Narrow" w:hAnsi="Arial Narrow"/>
                <w:sz w:val="22"/>
              </w:rPr>
              <w:t xml:space="preserve"> </w:t>
            </w:r>
          </w:p>
          <w:p w14:paraId="25B4FAC4" w14:textId="77777777" w:rsidR="00A965A3" w:rsidRPr="00CC255B" w:rsidRDefault="00A965A3" w:rsidP="00A965A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B050713" w14:textId="77777777" w:rsidR="00A965A3" w:rsidRPr="00CC255B" w:rsidRDefault="00A965A3" w:rsidP="00A965A3">
            <w:pPr>
              <w:rPr>
                <w:rFonts w:ascii="Arial Narrow" w:hAnsi="Arial Narrow"/>
                <w:sz w:val="22"/>
              </w:rPr>
            </w:pPr>
            <w:r w:rsidRPr="00CC255B">
              <w:rPr>
                <w:rFonts w:ascii="Arial Narrow" w:hAnsi="Arial Narrow"/>
                <w:sz w:val="22"/>
              </w:rPr>
              <w:t>Aufgrund der hohen Kosten des Medikaments kommt es zu einer Unterfinanzierung in den betroffenen DRGs.</w:t>
            </w:r>
          </w:p>
          <w:p w14:paraId="292253D0" w14:textId="77777777" w:rsidR="00A965A3" w:rsidRPr="00CC255B" w:rsidRDefault="00A965A3" w:rsidP="006A4FDA">
            <w:pPr>
              <w:rPr>
                <w:rFonts w:ascii="Arial Narrow" w:hAnsi="Arial Narrow"/>
                <w:sz w:val="22"/>
              </w:rPr>
            </w:pPr>
          </w:p>
          <w:p w14:paraId="222643B9" w14:textId="2C5BD501" w:rsidR="008E6675" w:rsidRPr="00CC255B" w:rsidRDefault="008E6675" w:rsidP="006A4FDA">
            <w:pPr>
              <w:rPr>
                <w:rFonts w:ascii="Arial Narrow" w:hAnsi="Arial Narrow"/>
                <w:sz w:val="22"/>
              </w:rPr>
            </w:pPr>
          </w:p>
        </w:tc>
      </w:tr>
    </w:tbl>
    <w:p w14:paraId="0A50A959" w14:textId="77777777" w:rsidR="008E6675" w:rsidRPr="0084651C" w:rsidRDefault="008E6675" w:rsidP="00EA25AF">
      <w:pPr>
        <w:rPr>
          <w:rFonts w:ascii="Arial Narrow" w:hAnsi="Arial Narrow"/>
        </w:rPr>
      </w:pPr>
    </w:p>
    <w:sectPr w:rsidR="008E6675" w:rsidRPr="0084651C" w:rsidSect="004E1D02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B53E2" w14:textId="77777777" w:rsidR="00F008B2" w:rsidRDefault="00F008B2">
      <w:r>
        <w:separator/>
      </w:r>
    </w:p>
  </w:endnote>
  <w:endnote w:type="continuationSeparator" w:id="0">
    <w:p w14:paraId="6D0B6EE2" w14:textId="77777777" w:rsidR="00F008B2" w:rsidRDefault="00F008B2">
      <w:r>
        <w:continuationSeparator/>
      </w:r>
    </w:p>
  </w:endnote>
  <w:endnote w:type="continuationNotice" w:id="1">
    <w:p w14:paraId="0EAD3865" w14:textId="77777777" w:rsidR="00F008B2" w:rsidRDefault="00F008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33A3A" w14:textId="77777777" w:rsidR="00F008B2" w:rsidRDefault="00F008B2">
      <w:r>
        <w:separator/>
      </w:r>
    </w:p>
  </w:footnote>
  <w:footnote w:type="continuationSeparator" w:id="0">
    <w:p w14:paraId="00BDCDE2" w14:textId="77777777" w:rsidR="00F008B2" w:rsidRDefault="00F008B2">
      <w:r>
        <w:continuationSeparator/>
      </w:r>
    </w:p>
  </w:footnote>
  <w:footnote w:type="continuationNotice" w:id="1">
    <w:p w14:paraId="0AB0DB70" w14:textId="77777777" w:rsidR="00F008B2" w:rsidRDefault="00F008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58799" w14:textId="1F26C536" w:rsidR="00F64982" w:rsidRPr="004C4F82" w:rsidRDefault="00F64982" w:rsidP="00596F9A">
    <w:pPr>
      <w:pStyle w:val="Titel"/>
      <w:rPr>
        <w:sz w:val="48"/>
      </w:rPr>
    </w:pPr>
    <w:proofErr w:type="gramStart"/>
    <w:r w:rsidRPr="004C4F82">
      <w:rPr>
        <w:sz w:val="48"/>
      </w:rPr>
      <w:t>NUB Antrag</w:t>
    </w:r>
    <w:proofErr w:type="gramEnd"/>
    <w:r w:rsidRPr="004C4F82">
      <w:rPr>
        <w:sz w:val="48"/>
      </w:rPr>
      <w:t xml:space="preserve"> 20</w:t>
    </w:r>
    <w:r>
      <w:rPr>
        <w:sz w:val="48"/>
      </w:rPr>
      <w:t>2</w:t>
    </w:r>
    <w:r w:rsidR="000D5C97">
      <w:rPr>
        <w:sz w:val="48"/>
      </w:rPr>
      <w:t>4</w:t>
    </w:r>
    <w:r w:rsidRPr="004C4F82">
      <w:rPr>
        <w:sz w:val="48"/>
      </w:rPr>
      <w:t>/20</w:t>
    </w:r>
    <w:r>
      <w:rPr>
        <w:sz w:val="48"/>
      </w:rPr>
      <w:t>2</w:t>
    </w:r>
    <w:r w:rsidR="000D5C97">
      <w:rPr>
        <w:sz w:val="48"/>
      </w:rPr>
      <w:t>5</w:t>
    </w:r>
    <w:r w:rsidRPr="004C4F82">
      <w:rPr>
        <w:sz w:val="48"/>
      </w:rPr>
      <w:t xml:space="preserve"> </w:t>
    </w:r>
  </w:p>
  <w:p w14:paraId="2D6FE634" w14:textId="5E2DEA37" w:rsidR="00F64982" w:rsidRPr="004C4F82" w:rsidRDefault="00F64982" w:rsidP="00596F9A">
    <w:pPr>
      <w:pStyle w:val="Titel"/>
      <w:rPr>
        <w:sz w:val="48"/>
      </w:rPr>
    </w:pPr>
    <w:r w:rsidRPr="004C4F82">
      <w:rPr>
        <w:sz w:val="48"/>
      </w:rPr>
      <w:t>[</w:t>
    </w:r>
    <w:r w:rsidR="00DC2DB1">
      <w:rPr>
        <w:sz w:val="48"/>
      </w:rPr>
      <w:t>Humaner Alpha1-Proteinase-Inhibitor bei akuter</w:t>
    </w:r>
    <w:r w:rsidR="003463BD">
      <w:rPr>
        <w:sz w:val="48"/>
      </w:rPr>
      <w:t xml:space="preserve"> GvHD</w:t>
    </w:r>
    <w:r w:rsidRPr="004C4F82">
      <w:rPr>
        <w:sz w:val="48"/>
      </w:rPr>
      <w:t>]</w:t>
    </w:r>
  </w:p>
  <w:p w14:paraId="38DF28C4" w14:textId="77777777" w:rsidR="00F64982" w:rsidRDefault="00F649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2B83"/>
    <w:multiLevelType w:val="multilevel"/>
    <w:tmpl w:val="1D466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5C1CCB"/>
    <w:multiLevelType w:val="multilevel"/>
    <w:tmpl w:val="7D0241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F8C1304"/>
    <w:multiLevelType w:val="hybridMultilevel"/>
    <w:tmpl w:val="49187E7A"/>
    <w:lvl w:ilvl="0" w:tplc="F4DC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CA0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B6E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E6B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A8A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AC1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4C6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8C7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C29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B4F63"/>
    <w:multiLevelType w:val="hybridMultilevel"/>
    <w:tmpl w:val="82F46A84"/>
    <w:lvl w:ilvl="0" w:tplc="D4B23D6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81313"/>
    <w:multiLevelType w:val="hybridMultilevel"/>
    <w:tmpl w:val="7F4E33F6"/>
    <w:lvl w:ilvl="0" w:tplc="9AEE24C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81F03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DC5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50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98B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68C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1E2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AEE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5C5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DC15EE"/>
    <w:multiLevelType w:val="multilevel"/>
    <w:tmpl w:val="E7206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8602E30"/>
    <w:multiLevelType w:val="hybridMultilevel"/>
    <w:tmpl w:val="4A46B8DC"/>
    <w:lvl w:ilvl="0" w:tplc="615431EA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300F9"/>
    <w:multiLevelType w:val="hybridMultilevel"/>
    <w:tmpl w:val="D0F4BD28"/>
    <w:lvl w:ilvl="0" w:tplc="47D65AF8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2"/>
      </w:rPr>
    </w:lvl>
    <w:lvl w:ilvl="1" w:tplc="3AC05F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0DA7D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27838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0A443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C9ABF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FE61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1008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F2C43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A59452E"/>
    <w:multiLevelType w:val="hybridMultilevel"/>
    <w:tmpl w:val="C982FDD4"/>
    <w:lvl w:ilvl="0" w:tplc="66AEB2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00B0F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D1057"/>
    <w:multiLevelType w:val="hybridMultilevel"/>
    <w:tmpl w:val="254E9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E6F25"/>
    <w:multiLevelType w:val="multilevel"/>
    <w:tmpl w:val="6F323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1" w15:restartNumberingAfterBreak="0">
    <w:nsid w:val="61FB1A21"/>
    <w:multiLevelType w:val="hybridMultilevel"/>
    <w:tmpl w:val="8BACE4F6"/>
    <w:lvl w:ilvl="0" w:tplc="921480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296C6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049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80E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8E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10F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86A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D23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486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6297720"/>
    <w:multiLevelType w:val="hybridMultilevel"/>
    <w:tmpl w:val="D372435A"/>
    <w:lvl w:ilvl="0" w:tplc="89948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103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A25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CE2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68E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56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68F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521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5EF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761355">
    <w:abstractNumId w:val="0"/>
  </w:num>
  <w:num w:numId="2" w16cid:durableId="1794710592">
    <w:abstractNumId w:val="12"/>
  </w:num>
  <w:num w:numId="3" w16cid:durableId="1237976074">
    <w:abstractNumId w:val="7"/>
  </w:num>
  <w:num w:numId="4" w16cid:durableId="1073744880">
    <w:abstractNumId w:val="4"/>
  </w:num>
  <w:num w:numId="5" w16cid:durableId="447699337">
    <w:abstractNumId w:val="11"/>
  </w:num>
  <w:num w:numId="6" w16cid:durableId="1925793504">
    <w:abstractNumId w:val="2"/>
  </w:num>
  <w:num w:numId="7" w16cid:durableId="958148491">
    <w:abstractNumId w:val="10"/>
  </w:num>
  <w:num w:numId="8" w16cid:durableId="1472092594">
    <w:abstractNumId w:val="5"/>
  </w:num>
  <w:num w:numId="9" w16cid:durableId="1397699935">
    <w:abstractNumId w:val="1"/>
  </w:num>
  <w:num w:numId="10" w16cid:durableId="1702516921">
    <w:abstractNumId w:val="9"/>
  </w:num>
  <w:num w:numId="11" w16cid:durableId="2022850711">
    <w:abstractNumId w:val="6"/>
  </w:num>
  <w:num w:numId="12" w16cid:durableId="431557550">
    <w:abstractNumId w:val="3"/>
  </w:num>
  <w:num w:numId="13" w16cid:durableId="9266193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E794084-83B0-4B46-BD37-262E0589DDB9}"/>
    <w:docVar w:name="dgnword-eventsink" w:val="507668536"/>
  </w:docVars>
  <w:rsids>
    <w:rsidRoot w:val="00234FB1"/>
    <w:rsid w:val="00001B07"/>
    <w:rsid w:val="00004689"/>
    <w:rsid w:val="000133EB"/>
    <w:rsid w:val="00015BCA"/>
    <w:rsid w:val="0002067F"/>
    <w:rsid w:val="00024651"/>
    <w:rsid w:val="0004094A"/>
    <w:rsid w:val="00044597"/>
    <w:rsid w:val="00052FF2"/>
    <w:rsid w:val="000531C6"/>
    <w:rsid w:val="00065A38"/>
    <w:rsid w:val="00072A33"/>
    <w:rsid w:val="0007654C"/>
    <w:rsid w:val="00076EE2"/>
    <w:rsid w:val="000953D2"/>
    <w:rsid w:val="00097DF5"/>
    <w:rsid w:val="000A2E93"/>
    <w:rsid w:val="000A3EEE"/>
    <w:rsid w:val="000B3EF3"/>
    <w:rsid w:val="000C4A1D"/>
    <w:rsid w:val="000C704A"/>
    <w:rsid w:val="000C7060"/>
    <w:rsid w:val="000C71D1"/>
    <w:rsid w:val="000D5C97"/>
    <w:rsid w:val="000E2F65"/>
    <w:rsid w:val="000E338E"/>
    <w:rsid w:val="000F56DA"/>
    <w:rsid w:val="00101599"/>
    <w:rsid w:val="00103F89"/>
    <w:rsid w:val="00104C97"/>
    <w:rsid w:val="00111926"/>
    <w:rsid w:val="00111FDD"/>
    <w:rsid w:val="0011634F"/>
    <w:rsid w:val="00121A02"/>
    <w:rsid w:val="001229E7"/>
    <w:rsid w:val="00124838"/>
    <w:rsid w:val="00145D2A"/>
    <w:rsid w:val="00156FE0"/>
    <w:rsid w:val="001725FE"/>
    <w:rsid w:val="00174C6A"/>
    <w:rsid w:val="00175FF7"/>
    <w:rsid w:val="001774E7"/>
    <w:rsid w:val="00186DEC"/>
    <w:rsid w:val="00196B89"/>
    <w:rsid w:val="001A1206"/>
    <w:rsid w:val="001A7AC7"/>
    <w:rsid w:val="001B6B93"/>
    <w:rsid w:val="001D1DBD"/>
    <w:rsid w:val="001D2547"/>
    <w:rsid w:val="001E5957"/>
    <w:rsid w:val="001F4753"/>
    <w:rsid w:val="002005AF"/>
    <w:rsid w:val="0020336C"/>
    <w:rsid w:val="00220AFA"/>
    <w:rsid w:val="002333FF"/>
    <w:rsid w:val="00234FB1"/>
    <w:rsid w:val="00237AB4"/>
    <w:rsid w:val="00256B7C"/>
    <w:rsid w:val="00264B10"/>
    <w:rsid w:val="0026560C"/>
    <w:rsid w:val="002704CA"/>
    <w:rsid w:val="00275274"/>
    <w:rsid w:val="00275E9F"/>
    <w:rsid w:val="00277215"/>
    <w:rsid w:val="0028432D"/>
    <w:rsid w:val="00285AE4"/>
    <w:rsid w:val="002A0675"/>
    <w:rsid w:val="002D2AA3"/>
    <w:rsid w:val="002D7403"/>
    <w:rsid w:val="002E5E26"/>
    <w:rsid w:val="00303E4D"/>
    <w:rsid w:val="00305016"/>
    <w:rsid w:val="00312A1A"/>
    <w:rsid w:val="00316001"/>
    <w:rsid w:val="003274CC"/>
    <w:rsid w:val="00340116"/>
    <w:rsid w:val="003463BD"/>
    <w:rsid w:val="003479E5"/>
    <w:rsid w:val="0036178C"/>
    <w:rsid w:val="0036325A"/>
    <w:rsid w:val="0037784D"/>
    <w:rsid w:val="00380E23"/>
    <w:rsid w:val="00387D43"/>
    <w:rsid w:val="00392AEF"/>
    <w:rsid w:val="00393963"/>
    <w:rsid w:val="00393A1C"/>
    <w:rsid w:val="00396838"/>
    <w:rsid w:val="003B2AE7"/>
    <w:rsid w:val="003B2E05"/>
    <w:rsid w:val="003D07EF"/>
    <w:rsid w:val="003E21AB"/>
    <w:rsid w:val="003F2692"/>
    <w:rsid w:val="00402187"/>
    <w:rsid w:val="0040610F"/>
    <w:rsid w:val="0041156E"/>
    <w:rsid w:val="0041649C"/>
    <w:rsid w:val="00435583"/>
    <w:rsid w:val="00436D04"/>
    <w:rsid w:val="004421AC"/>
    <w:rsid w:val="004438F8"/>
    <w:rsid w:val="00454847"/>
    <w:rsid w:val="004642E2"/>
    <w:rsid w:val="00465E59"/>
    <w:rsid w:val="00467246"/>
    <w:rsid w:val="00492AB4"/>
    <w:rsid w:val="00494C0F"/>
    <w:rsid w:val="004B3438"/>
    <w:rsid w:val="004B4DDE"/>
    <w:rsid w:val="004B624B"/>
    <w:rsid w:val="004B6C59"/>
    <w:rsid w:val="004C3B6D"/>
    <w:rsid w:val="004C4F82"/>
    <w:rsid w:val="004D3D2D"/>
    <w:rsid w:val="004E1D02"/>
    <w:rsid w:val="004F3C49"/>
    <w:rsid w:val="004F4A1D"/>
    <w:rsid w:val="004F5C2F"/>
    <w:rsid w:val="00504FB4"/>
    <w:rsid w:val="0050526A"/>
    <w:rsid w:val="00506AAF"/>
    <w:rsid w:val="005125E9"/>
    <w:rsid w:val="00515C16"/>
    <w:rsid w:val="00516720"/>
    <w:rsid w:val="00523B59"/>
    <w:rsid w:val="00531428"/>
    <w:rsid w:val="00534264"/>
    <w:rsid w:val="005368D6"/>
    <w:rsid w:val="00541B64"/>
    <w:rsid w:val="005504A3"/>
    <w:rsid w:val="00551A23"/>
    <w:rsid w:val="005524BC"/>
    <w:rsid w:val="005530A6"/>
    <w:rsid w:val="005638EB"/>
    <w:rsid w:val="0057537C"/>
    <w:rsid w:val="00584AEF"/>
    <w:rsid w:val="005906BB"/>
    <w:rsid w:val="00591F21"/>
    <w:rsid w:val="00596F9A"/>
    <w:rsid w:val="005B34A4"/>
    <w:rsid w:val="005B4C80"/>
    <w:rsid w:val="005E7E0F"/>
    <w:rsid w:val="005E7E3C"/>
    <w:rsid w:val="005F107C"/>
    <w:rsid w:val="005F1F60"/>
    <w:rsid w:val="005F29C6"/>
    <w:rsid w:val="005F4D2E"/>
    <w:rsid w:val="00612162"/>
    <w:rsid w:val="00612463"/>
    <w:rsid w:val="00614AAF"/>
    <w:rsid w:val="00633FDD"/>
    <w:rsid w:val="006354B6"/>
    <w:rsid w:val="00644AF7"/>
    <w:rsid w:val="006451B6"/>
    <w:rsid w:val="006549F4"/>
    <w:rsid w:val="00664E69"/>
    <w:rsid w:val="00677AD3"/>
    <w:rsid w:val="00681EC4"/>
    <w:rsid w:val="00685546"/>
    <w:rsid w:val="00685AFE"/>
    <w:rsid w:val="00692208"/>
    <w:rsid w:val="00692DBE"/>
    <w:rsid w:val="006A4A1F"/>
    <w:rsid w:val="006A4FDA"/>
    <w:rsid w:val="006B15BE"/>
    <w:rsid w:val="006C56BB"/>
    <w:rsid w:val="006C656D"/>
    <w:rsid w:val="006D4541"/>
    <w:rsid w:val="006F7F69"/>
    <w:rsid w:val="00704238"/>
    <w:rsid w:val="007207EB"/>
    <w:rsid w:val="007273F0"/>
    <w:rsid w:val="00742D59"/>
    <w:rsid w:val="00745EC9"/>
    <w:rsid w:val="00750C8F"/>
    <w:rsid w:val="007600D1"/>
    <w:rsid w:val="00760198"/>
    <w:rsid w:val="007819CF"/>
    <w:rsid w:val="0078205D"/>
    <w:rsid w:val="0078272D"/>
    <w:rsid w:val="0078623E"/>
    <w:rsid w:val="0079700F"/>
    <w:rsid w:val="007A314E"/>
    <w:rsid w:val="007A6F09"/>
    <w:rsid w:val="007B6C94"/>
    <w:rsid w:val="007B7E60"/>
    <w:rsid w:val="007C0ADF"/>
    <w:rsid w:val="007D58CC"/>
    <w:rsid w:val="007F0381"/>
    <w:rsid w:val="007F255B"/>
    <w:rsid w:val="007F7CE9"/>
    <w:rsid w:val="00802EF7"/>
    <w:rsid w:val="00804601"/>
    <w:rsid w:val="0080511D"/>
    <w:rsid w:val="00806656"/>
    <w:rsid w:val="00807564"/>
    <w:rsid w:val="00815B1B"/>
    <w:rsid w:val="00816924"/>
    <w:rsid w:val="00825D78"/>
    <w:rsid w:val="00826A7D"/>
    <w:rsid w:val="00827E70"/>
    <w:rsid w:val="00843507"/>
    <w:rsid w:val="0084651C"/>
    <w:rsid w:val="00850D44"/>
    <w:rsid w:val="00852B58"/>
    <w:rsid w:val="00857BF3"/>
    <w:rsid w:val="00863FEA"/>
    <w:rsid w:val="00876B7E"/>
    <w:rsid w:val="00882FEE"/>
    <w:rsid w:val="00890BC2"/>
    <w:rsid w:val="008B38C2"/>
    <w:rsid w:val="008B4504"/>
    <w:rsid w:val="008B7669"/>
    <w:rsid w:val="008C1686"/>
    <w:rsid w:val="008C21A3"/>
    <w:rsid w:val="008C4B70"/>
    <w:rsid w:val="008C585E"/>
    <w:rsid w:val="008D12DD"/>
    <w:rsid w:val="008E16DD"/>
    <w:rsid w:val="008E4234"/>
    <w:rsid w:val="008E4830"/>
    <w:rsid w:val="008E6302"/>
    <w:rsid w:val="008E6675"/>
    <w:rsid w:val="00900E00"/>
    <w:rsid w:val="00907E73"/>
    <w:rsid w:val="009118A6"/>
    <w:rsid w:val="00923DA7"/>
    <w:rsid w:val="00925542"/>
    <w:rsid w:val="009545AF"/>
    <w:rsid w:val="0098009C"/>
    <w:rsid w:val="00981E33"/>
    <w:rsid w:val="00983554"/>
    <w:rsid w:val="00987266"/>
    <w:rsid w:val="009909C9"/>
    <w:rsid w:val="009A0353"/>
    <w:rsid w:val="009A0F5E"/>
    <w:rsid w:val="009B1C7E"/>
    <w:rsid w:val="009C0B84"/>
    <w:rsid w:val="009C144E"/>
    <w:rsid w:val="009E3468"/>
    <w:rsid w:val="00A00CCB"/>
    <w:rsid w:val="00A017AA"/>
    <w:rsid w:val="00A100DC"/>
    <w:rsid w:val="00A151F6"/>
    <w:rsid w:val="00A2016B"/>
    <w:rsid w:val="00A21971"/>
    <w:rsid w:val="00A21E9E"/>
    <w:rsid w:val="00A22CD2"/>
    <w:rsid w:val="00A345A9"/>
    <w:rsid w:val="00A4055E"/>
    <w:rsid w:val="00A43812"/>
    <w:rsid w:val="00A530BE"/>
    <w:rsid w:val="00A703A2"/>
    <w:rsid w:val="00A82047"/>
    <w:rsid w:val="00A93AAD"/>
    <w:rsid w:val="00A965A3"/>
    <w:rsid w:val="00A9702E"/>
    <w:rsid w:val="00AA3F05"/>
    <w:rsid w:val="00AA6B4F"/>
    <w:rsid w:val="00AA7A51"/>
    <w:rsid w:val="00AB10BF"/>
    <w:rsid w:val="00AB4D89"/>
    <w:rsid w:val="00AC73AC"/>
    <w:rsid w:val="00AC7618"/>
    <w:rsid w:val="00AE4C49"/>
    <w:rsid w:val="00AF5786"/>
    <w:rsid w:val="00AF7A39"/>
    <w:rsid w:val="00B03A61"/>
    <w:rsid w:val="00B11FAB"/>
    <w:rsid w:val="00B167F7"/>
    <w:rsid w:val="00B25F7A"/>
    <w:rsid w:val="00B42167"/>
    <w:rsid w:val="00B43F6B"/>
    <w:rsid w:val="00B574E9"/>
    <w:rsid w:val="00B6570D"/>
    <w:rsid w:val="00B7171E"/>
    <w:rsid w:val="00B76CBB"/>
    <w:rsid w:val="00B77031"/>
    <w:rsid w:val="00B773B8"/>
    <w:rsid w:val="00BA4578"/>
    <w:rsid w:val="00BA57F4"/>
    <w:rsid w:val="00BA6044"/>
    <w:rsid w:val="00BB23B7"/>
    <w:rsid w:val="00BB4A54"/>
    <w:rsid w:val="00BC06CF"/>
    <w:rsid w:val="00BC3D19"/>
    <w:rsid w:val="00BC4042"/>
    <w:rsid w:val="00BC4D16"/>
    <w:rsid w:val="00BE3979"/>
    <w:rsid w:val="00BF0A1C"/>
    <w:rsid w:val="00BF11AE"/>
    <w:rsid w:val="00C0086C"/>
    <w:rsid w:val="00C112A6"/>
    <w:rsid w:val="00C11458"/>
    <w:rsid w:val="00C166B3"/>
    <w:rsid w:val="00C21654"/>
    <w:rsid w:val="00C35BFE"/>
    <w:rsid w:val="00C47DA4"/>
    <w:rsid w:val="00C54327"/>
    <w:rsid w:val="00C602C1"/>
    <w:rsid w:val="00C676EE"/>
    <w:rsid w:val="00C75432"/>
    <w:rsid w:val="00C92AF5"/>
    <w:rsid w:val="00CA59E9"/>
    <w:rsid w:val="00CB1E1F"/>
    <w:rsid w:val="00CB3CA3"/>
    <w:rsid w:val="00CB7E53"/>
    <w:rsid w:val="00CC255B"/>
    <w:rsid w:val="00CC7E5F"/>
    <w:rsid w:val="00CD2365"/>
    <w:rsid w:val="00CE151C"/>
    <w:rsid w:val="00CE48FA"/>
    <w:rsid w:val="00CE69F3"/>
    <w:rsid w:val="00CF1EC5"/>
    <w:rsid w:val="00CF56C3"/>
    <w:rsid w:val="00CF5ECC"/>
    <w:rsid w:val="00D14350"/>
    <w:rsid w:val="00D216BD"/>
    <w:rsid w:val="00D21A79"/>
    <w:rsid w:val="00D340B0"/>
    <w:rsid w:val="00D352B1"/>
    <w:rsid w:val="00D368D0"/>
    <w:rsid w:val="00D41422"/>
    <w:rsid w:val="00D548D7"/>
    <w:rsid w:val="00D642AE"/>
    <w:rsid w:val="00D87B48"/>
    <w:rsid w:val="00D87B96"/>
    <w:rsid w:val="00D9022C"/>
    <w:rsid w:val="00D936D1"/>
    <w:rsid w:val="00D94854"/>
    <w:rsid w:val="00D9586E"/>
    <w:rsid w:val="00DA077E"/>
    <w:rsid w:val="00DA633D"/>
    <w:rsid w:val="00DB14F4"/>
    <w:rsid w:val="00DB332E"/>
    <w:rsid w:val="00DB4789"/>
    <w:rsid w:val="00DC2DB1"/>
    <w:rsid w:val="00DC6CBD"/>
    <w:rsid w:val="00DD60F4"/>
    <w:rsid w:val="00DE0DAA"/>
    <w:rsid w:val="00DF01F8"/>
    <w:rsid w:val="00E07155"/>
    <w:rsid w:val="00E24E3B"/>
    <w:rsid w:val="00E35E1C"/>
    <w:rsid w:val="00E45B52"/>
    <w:rsid w:val="00E53F75"/>
    <w:rsid w:val="00E737B8"/>
    <w:rsid w:val="00E86725"/>
    <w:rsid w:val="00E914DB"/>
    <w:rsid w:val="00E9243F"/>
    <w:rsid w:val="00E92C57"/>
    <w:rsid w:val="00E94959"/>
    <w:rsid w:val="00EA25AF"/>
    <w:rsid w:val="00EC0987"/>
    <w:rsid w:val="00EC4D35"/>
    <w:rsid w:val="00EC5D99"/>
    <w:rsid w:val="00ED4386"/>
    <w:rsid w:val="00ED79AA"/>
    <w:rsid w:val="00EE0D0B"/>
    <w:rsid w:val="00EE1581"/>
    <w:rsid w:val="00EE5875"/>
    <w:rsid w:val="00EF7F7F"/>
    <w:rsid w:val="00F000AA"/>
    <w:rsid w:val="00F003FE"/>
    <w:rsid w:val="00F008B2"/>
    <w:rsid w:val="00F233AA"/>
    <w:rsid w:val="00F27D62"/>
    <w:rsid w:val="00F365AF"/>
    <w:rsid w:val="00F433E7"/>
    <w:rsid w:val="00F45EBD"/>
    <w:rsid w:val="00F554D5"/>
    <w:rsid w:val="00F64982"/>
    <w:rsid w:val="00F65655"/>
    <w:rsid w:val="00F700E0"/>
    <w:rsid w:val="00F84EF1"/>
    <w:rsid w:val="00F91167"/>
    <w:rsid w:val="00F961A9"/>
    <w:rsid w:val="00F97B79"/>
    <w:rsid w:val="00F97D8B"/>
    <w:rsid w:val="00FA0BB0"/>
    <w:rsid w:val="00FA6FC5"/>
    <w:rsid w:val="00FB46A5"/>
    <w:rsid w:val="00FD01F4"/>
    <w:rsid w:val="00FD23AC"/>
    <w:rsid w:val="00FE58D9"/>
    <w:rsid w:val="00FF008C"/>
    <w:rsid w:val="00FF4695"/>
    <w:rsid w:val="00FF51E1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1CDF"/>
  <w15:docId w15:val="{4817DC72-86B7-4EAB-848F-B216F2CC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0F5E"/>
    <w:rPr>
      <w:sz w:val="24"/>
      <w:szCs w:val="24"/>
    </w:rPr>
  </w:style>
  <w:style w:type="paragraph" w:styleId="berschrift2">
    <w:name w:val="heading 2"/>
    <w:basedOn w:val="Standard"/>
    <w:link w:val="berschrift2Zchn"/>
    <w:uiPriority w:val="99"/>
    <w:qFormat/>
    <w:rsid w:val="004E1D02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4504"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4E1D02"/>
    <w:pPr>
      <w:spacing w:line="480" w:lineRule="auto"/>
      <w:jc w:val="both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B4504"/>
    <w:rPr>
      <w:rFonts w:cs="Times New Roman"/>
      <w:sz w:val="24"/>
      <w:szCs w:val="24"/>
    </w:rPr>
  </w:style>
  <w:style w:type="paragraph" w:styleId="StandardWeb">
    <w:name w:val="Normal (Web)"/>
    <w:basedOn w:val="Standard"/>
    <w:uiPriority w:val="99"/>
    <w:rsid w:val="004E1D02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Absatz-Standardschriftart"/>
    <w:uiPriority w:val="99"/>
    <w:rsid w:val="004E1D02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rsid w:val="004E1D02"/>
    <w:rPr>
      <w:rFonts w:ascii="Arial" w:hAnsi="Arial" w:cs="Arial"/>
      <w:b/>
      <w:bCs/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B4504"/>
    <w:rPr>
      <w:rFonts w:cs="Times New Roman"/>
      <w:sz w:val="24"/>
      <w:szCs w:val="24"/>
    </w:rPr>
  </w:style>
  <w:style w:type="paragraph" w:customStyle="1" w:styleId="affiliation">
    <w:name w:val="affiliation"/>
    <w:basedOn w:val="Standard"/>
    <w:uiPriority w:val="99"/>
    <w:rsid w:val="004E1D02"/>
    <w:rPr>
      <w:color w:val="000000"/>
    </w:rPr>
  </w:style>
  <w:style w:type="character" w:customStyle="1" w:styleId="ti2">
    <w:name w:val="ti2"/>
    <w:basedOn w:val="Absatz-Standardschriftart"/>
    <w:uiPriority w:val="99"/>
    <w:rsid w:val="004E1D02"/>
    <w:rPr>
      <w:rFonts w:cs="Times New Roman"/>
    </w:rPr>
  </w:style>
  <w:style w:type="character" w:customStyle="1" w:styleId="featuredlinkouts">
    <w:name w:val="featured_linkouts"/>
    <w:basedOn w:val="Absatz-Standardschriftart"/>
    <w:uiPriority w:val="99"/>
    <w:rsid w:val="004E1D02"/>
    <w:rPr>
      <w:rFonts w:cs="Times New Roman"/>
    </w:rPr>
  </w:style>
  <w:style w:type="character" w:customStyle="1" w:styleId="linkbar">
    <w:name w:val="linkbar"/>
    <w:basedOn w:val="Absatz-Standardschriftart"/>
    <w:uiPriority w:val="99"/>
    <w:rsid w:val="004E1D02"/>
    <w:rPr>
      <w:rFonts w:cs="Times New Roman"/>
    </w:rPr>
  </w:style>
  <w:style w:type="character" w:styleId="BesuchterLink">
    <w:name w:val="FollowedHyperlink"/>
    <w:basedOn w:val="Absatz-Standardschriftart"/>
    <w:uiPriority w:val="99"/>
    <w:rsid w:val="004E1D02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4E1D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B4504"/>
    <w:rPr>
      <w:rFonts w:cs="Times New Roman"/>
      <w:sz w:val="2"/>
    </w:rPr>
  </w:style>
  <w:style w:type="paragraph" w:styleId="Titel">
    <w:name w:val="Title"/>
    <w:basedOn w:val="Standard"/>
    <w:next w:val="Standard"/>
    <w:link w:val="TitelZchn"/>
    <w:uiPriority w:val="99"/>
    <w:qFormat/>
    <w:rsid w:val="005638EB"/>
    <w:pPr>
      <w:pBdr>
        <w:bottom w:val="single" w:sz="8" w:space="4" w:color="2DA2BF"/>
      </w:pBdr>
      <w:spacing w:after="300"/>
      <w:contextualSpacing/>
    </w:pPr>
    <w:rPr>
      <w:rFonts w:ascii="Lucida Sans Unicode" w:hAnsi="Lucida Sans Unicode"/>
      <w:color w:val="343434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638EB"/>
    <w:rPr>
      <w:rFonts w:ascii="Lucida Sans Unicode" w:hAnsi="Lucida Sans Unicode" w:cs="Times New Roman"/>
      <w:color w:val="343434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B4504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B4504"/>
    <w:rPr>
      <w:rFonts w:cs="Times New Roman"/>
      <w:sz w:val="24"/>
      <w:szCs w:val="24"/>
    </w:rPr>
  </w:style>
  <w:style w:type="paragraph" w:styleId="berarbeitung">
    <w:name w:val="Revision"/>
    <w:hidden/>
    <w:uiPriority w:val="99"/>
    <w:semiHidden/>
    <w:rsid w:val="00E53F7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3558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B33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B33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B332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33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33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23101DCFBA7749887911E3CB672BB5" ma:contentTypeVersion="6" ma:contentTypeDescription="Ein neues Dokument erstellen." ma:contentTypeScope="" ma:versionID="2986d63ec7866e408557bc314585e014">
  <xsd:schema xmlns:xsd="http://www.w3.org/2001/XMLSchema" xmlns:xs="http://www.w3.org/2001/XMLSchema" xmlns:p="http://schemas.microsoft.com/office/2006/metadata/properties" xmlns:ns2="f2b9fac7-f26d-4300-b653-5c1487603614" xmlns:ns3="4e1db847-b76b-42a4-b93b-2443b50cd66c" targetNamespace="http://schemas.microsoft.com/office/2006/metadata/properties" ma:root="true" ma:fieldsID="f06881557e1b13083f02e6ebf560dc6c" ns2:_="" ns3:_="">
    <xsd:import namespace="f2b9fac7-f26d-4300-b653-5c1487603614"/>
    <xsd:import namespace="4e1db847-b76b-42a4-b93b-2443b50cd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9fac7-f26d-4300-b653-5c1487603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db847-b76b-42a4-b93b-2443b50cd6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CB8F97-21A8-445E-80B8-7490B3EB5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9fac7-f26d-4300-b653-5c1487603614"/>
    <ds:schemaRef ds:uri="4e1db847-b76b-42a4-b93b-2443b50cd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D2B7D-02D7-4CC4-8393-266E02E107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8C21BD-BE16-45E7-AD50-958CD38E8D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7317</Characters>
  <Application>Microsoft Office Word</Application>
  <DocSecurity>0</DocSecurity>
  <Lines>166</Lines>
  <Paragraphs>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Klinikum der Universitaet Muenchen</Company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Massenkeil</dc:creator>
  <cp:lastModifiedBy>Ann-Cathrine Froitzheim</cp:lastModifiedBy>
  <cp:revision>2</cp:revision>
  <cp:lastPrinted>2012-10-09T15:17:00Z</cp:lastPrinted>
  <dcterms:created xsi:type="dcterms:W3CDTF">2024-10-22T10:52:00Z</dcterms:created>
  <dcterms:modified xsi:type="dcterms:W3CDTF">2024-10-22T10:52:00Z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0x010100BC23101DCFBA7749887911E3CB672BB5</vt:lpwstr>
  </property>
  <property fmtid="{D5CDD505-2E9C-101B-9397-08002B2CF9AE}" pid="3" name="GrammarlyDocumentId">
    <vt:lpwstr>1a711b13d9b66b485a88775ac08dbb1205e534431e8404c04a660529a74b8506</vt:lpwstr>
  </property>
</Properties>
</file>