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342848E" w14:textId="77777777">
        <w:tc>
          <w:tcPr>
            <w:tcW w:w="9212" w:type="dxa"/>
          </w:tcPr>
          <w:p w14:paraId="3856C14D" w14:textId="77777777" w:rsidR="008E6675" w:rsidRPr="005638EB" w:rsidRDefault="008E6675" w:rsidP="002005AF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 xml:space="preserve">Haben Sie externe Hilfestellungen </w:t>
            </w:r>
            <w:r w:rsidR="002333FF">
              <w:rPr>
                <w:rFonts w:ascii="Arial Narrow" w:hAnsi="Arial Narrow"/>
                <w:b/>
                <w:sz w:val="22"/>
              </w:rPr>
              <w:t xml:space="preserve">zum Ausfüllen der Formblätter </w:t>
            </w:r>
            <w:r w:rsidRPr="005638EB">
              <w:rPr>
                <w:rFonts w:ascii="Arial Narrow" w:hAnsi="Arial Narrow"/>
                <w:b/>
                <w:sz w:val="22"/>
              </w:rPr>
              <w:t>in Anspruch genommen</w:t>
            </w:r>
            <w:r w:rsidR="002005AF">
              <w:rPr>
                <w:rFonts w:ascii="Arial Narrow" w:hAnsi="Arial Narrow"/>
                <w:b/>
                <w:sz w:val="22"/>
              </w:rPr>
              <w:t>?</w:t>
            </w:r>
            <w:r w:rsidRPr="005638EB">
              <w:rPr>
                <w:rFonts w:ascii="Arial Narrow" w:hAnsi="Arial Narrow"/>
                <w:b/>
                <w:sz w:val="22"/>
              </w:rPr>
              <w:t xml:space="preserve">  Wenn ja, bitte geben Sie an, welche Hilfestellung</w:t>
            </w:r>
            <w:r w:rsidR="002005AF">
              <w:rPr>
                <w:rFonts w:ascii="Arial Narrow" w:hAnsi="Arial Narrow"/>
                <w:b/>
                <w:sz w:val="22"/>
              </w:rPr>
              <w:t xml:space="preserve"> Sie in Anspruch genommen haben</w:t>
            </w:r>
            <w:r w:rsidRPr="005638EB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8E6675" w:rsidRPr="005638EB" w14:paraId="2315EEB9" w14:textId="77777777">
        <w:tc>
          <w:tcPr>
            <w:tcW w:w="9212" w:type="dxa"/>
          </w:tcPr>
          <w:p w14:paraId="59E436C4" w14:textId="702B7DCD" w:rsidR="008E6675" w:rsidRPr="005638EB" w:rsidRDefault="008E6675" w:rsidP="005638EB">
            <w:pPr>
              <w:rPr>
                <w:rFonts w:ascii="Arial Narrow" w:hAnsi="Arial Narrow"/>
              </w:rPr>
            </w:pPr>
          </w:p>
        </w:tc>
      </w:tr>
    </w:tbl>
    <w:p w14:paraId="1B73E9CE" w14:textId="77777777" w:rsidR="008E6675" w:rsidRPr="005638EB" w:rsidRDefault="008E6675" w:rsidP="005638EB">
      <w:pPr>
        <w:rPr>
          <w:rFonts w:ascii="Arial Narrow" w:hAnsi="Arial Narrow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69DF06E3" w14:textId="77777777" w:rsidTr="000B5149">
        <w:tc>
          <w:tcPr>
            <w:tcW w:w="9212" w:type="dxa"/>
          </w:tcPr>
          <w:p w14:paraId="48DD38F6" w14:textId="62BF7CF8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Angefragte Untersuchungs- und Beh</w:t>
            </w:r>
            <w:r w:rsidR="002333FF">
              <w:rPr>
                <w:rFonts w:ascii="Arial Narrow" w:hAnsi="Arial Narrow"/>
                <w:b/>
                <w:sz w:val="22"/>
              </w:rPr>
              <w:t>andlungsmethode</w:t>
            </w:r>
          </w:p>
        </w:tc>
      </w:tr>
      <w:tr w:rsidR="000B5149" w:rsidRPr="007F255B" w14:paraId="3534B4A0" w14:textId="77777777" w:rsidTr="000B5149">
        <w:tc>
          <w:tcPr>
            <w:tcW w:w="9212" w:type="dxa"/>
          </w:tcPr>
          <w:p w14:paraId="2C182448" w14:textId="43EB7279" w:rsidR="000B5149" w:rsidRPr="00394E09" w:rsidRDefault="006A3645" w:rsidP="000B5149">
            <w:pPr>
              <w:rPr>
                <w:rFonts w:ascii="Arial Narrow" w:hAnsi="Arial Narrow"/>
                <w:sz w:val="22"/>
              </w:rPr>
            </w:pPr>
            <w:proofErr w:type="spellStart"/>
            <w:r w:rsidRPr="006A3645">
              <w:rPr>
                <w:rFonts w:ascii="Arial Narrow" w:hAnsi="Arial Narrow"/>
                <w:color w:val="000000" w:themeColor="text1"/>
                <w:sz w:val="22"/>
              </w:rPr>
              <w:t>Etranacogen</w:t>
            </w:r>
            <w:proofErr w:type="spellEnd"/>
            <w:r w:rsidRPr="006A3645">
              <w:rPr>
                <w:rFonts w:ascii="Arial Narrow" w:hAnsi="Arial Narrow"/>
                <w:color w:val="000000" w:themeColor="text1"/>
                <w:sz w:val="22"/>
              </w:rPr>
              <w:t xml:space="preserve"> </w:t>
            </w:r>
            <w:proofErr w:type="spellStart"/>
            <w:r w:rsidR="00EC002F">
              <w:rPr>
                <w:rFonts w:ascii="Arial Narrow" w:hAnsi="Arial Narrow"/>
                <w:color w:val="000000" w:themeColor="text1"/>
                <w:sz w:val="22"/>
              </w:rPr>
              <w:t>d</w:t>
            </w:r>
            <w:r w:rsidRPr="006A3645">
              <w:rPr>
                <w:rFonts w:ascii="Arial Narrow" w:hAnsi="Arial Narrow"/>
                <w:color w:val="000000" w:themeColor="text1"/>
                <w:sz w:val="22"/>
              </w:rPr>
              <w:t>ezaparvovec</w:t>
            </w:r>
            <w:proofErr w:type="spellEnd"/>
          </w:p>
        </w:tc>
      </w:tr>
    </w:tbl>
    <w:p w14:paraId="42022921" w14:textId="77777777" w:rsidR="008E6675" w:rsidRPr="005638EB" w:rsidRDefault="008E6675" w:rsidP="005638EB">
      <w:pPr>
        <w:rPr>
          <w:rFonts w:ascii="Arial Narrow" w:hAnsi="Arial Narrow"/>
          <w:b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16B6F275" w14:textId="77777777">
        <w:tc>
          <w:tcPr>
            <w:tcW w:w="9212" w:type="dxa"/>
          </w:tcPr>
          <w:p w14:paraId="67F0AA02" w14:textId="4EF70D85" w:rsidR="008E6675" w:rsidRPr="005638EB" w:rsidRDefault="008E6675" w:rsidP="00596F9A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Alternative Bezeichnung(en) der Methode</w:t>
            </w:r>
            <w:r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8E6675" w:rsidRPr="005638EB" w14:paraId="6AA1CD49" w14:textId="77777777">
        <w:tc>
          <w:tcPr>
            <w:tcW w:w="9212" w:type="dxa"/>
          </w:tcPr>
          <w:p w14:paraId="03804348" w14:textId="6760BE34" w:rsidR="008E6675" w:rsidRPr="005638EB" w:rsidRDefault="00C96292" w:rsidP="005638EB">
            <w:pPr>
              <w:rPr>
                <w:rFonts w:ascii="Arial Narrow" w:hAnsi="Arial Narrow"/>
              </w:rPr>
            </w:pPr>
            <w:proofErr w:type="spellStart"/>
            <w:r w:rsidRPr="00C96292">
              <w:rPr>
                <w:rFonts w:ascii="Arial Narrow" w:hAnsi="Arial Narrow"/>
                <w:color w:val="000000" w:themeColor="text1"/>
                <w:sz w:val="22"/>
              </w:rPr>
              <w:t>Hemgenix</w:t>
            </w:r>
            <w:proofErr w:type="spellEnd"/>
            <w:r w:rsidRPr="00C96292">
              <w:rPr>
                <w:rFonts w:ascii="Arial Narrow" w:hAnsi="Arial Narrow"/>
                <w:color w:val="000000" w:themeColor="text1"/>
                <w:sz w:val="22"/>
              </w:rPr>
              <w:t>®</w:t>
            </w:r>
          </w:p>
        </w:tc>
      </w:tr>
    </w:tbl>
    <w:p w14:paraId="5C4D6932" w14:textId="77777777" w:rsidR="004C4F82" w:rsidRDefault="004C4F82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4C4F82" w14:paraId="6FC43EE4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0C9" w14:textId="48FE42C0" w:rsidR="004C4F82" w:rsidRPr="004C4F82" w:rsidRDefault="004C4F82" w:rsidP="004C4F82">
            <w:pPr>
              <w:tabs>
                <w:tab w:val="left" w:pos="7465"/>
              </w:tabs>
              <w:rPr>
                <w:rFonts w:ascii="Arial Narrow" w:hAnsi="Arial Narrow"/>
                <w:b/>
                <w:sz w:val="22"/>
              </w:rPr>
            </w:pPr>
            <w:r w:rsidRPr="004C4F82">
              <w:rPr>
                <w:rFonts w:ascii="Arial Narrow" w:hAnsi="Arial Narrow"/>
                <w:b/>
                <w:sz w:val="22"/>
              </w:rPr>
              <w:t>Beruht die neue Untersuchungs- und Behandlungsmethode vollständig oder in Teilen auf dem Ei</w:t>
            </w:r>
            <w:r>
              <w:rPr>
                <w:rFonts w:ascii="Arial Narrow" w:hAnsi="Arial Narrow"/>
                <w:b/>
                <w:sz w:val="22"/>
              </w:rPr>
              <w:t>nsatz eines Medizinproduktes?</w:t>
            </w:r>
            <w:r w:rsidRPr="004C4F82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4C4F82" w:rsidRPr="005638EB" w14:paraId="049FBCCE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2A39" w14:textId="492BF289" w:rsidR="004C4F82" w:rsidRPr="00C96292" w:rsidRDefault="008B7669" w:rsidP="008B7669">
            <w:pPr>
              <w:rPr>
                <w:rFonts w:ascii="Arial Narrow" w:hAnsi="Arial Narrow"/>
                <w:sz w:val="22"/>
              </w:rPr>
            </w:pPr>
            <w:r w:rsidRPr="008B7669">
              <w:rPr>
                <w:rFonts w:ascii="Arial Narrow" w:hAnsi="Arial Narrow"/>
                <w:sz w:val="22"/>
              </w:rPr>
              <w:t>[</w:t>
            </w:r>
            <w:r w:rsidRPr="0036178C">
              <w:rPr>
                <w:rFonts w:ascii="Arial Narrow" w:hAnsi="Arial Narrow"/>
                <w:sz w:val="22"/>
                <w:highlight w:val="yellow"/>
              </w:rPr>
              <w:t>nein ankreuzen</w:t>
            </w:r>
            <w:r w:rsidRPr="008B7669">
              <w:rPr>
                <w:rFonts w:ascii="Arial Narrow" w:hAnsi="Arial Narrow"/>
                <w:sz w:val="22"/>
              </w:rPr>
              <w:t>]</w:t>
            </w:r>
          </w:p>
        </w:tc>
      </w:tr>
    </w:tbl>
    <w:p w14:paraId="7F1AD41E" w14:textId="77777777" w:rsidR="008E6675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92AB4" w:rsidRPr="005638EB" w14:paraId="5055E8B5" w14:textId="77777777" w:rsidTr="0036178C">
        <w:tc>
          <w:tcPr>
            <w:tcW w:w="9212" w:type="dxa"/>
          </w:tcPr>
          <w:p w14:paraId="43488653" w14:textId="1D568D83" w:rsidR="00492AB4" w:rsidRPr="005638EB" w:rsidRDefault="00492AB4" w:rsidP="006354B6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Wurde für diese angefrag</w:t>
            </w:r>
            <w:r w:rsidR="00DC6CBD">
              <w:rPr>
                <w:rFonts w:ascii="Arial Narrow" w:hAnsi="Arial Narrow"/>
                <w:b/>
                <w:sz w:val="22"/>
              </w:rPr>
              <w:t>te Untersuchungs- und Behandlungsmethode von Ihrem Kranke</w:t>
            </w:r>
            <w:r w:rsidR="00DB14F4">
              <w:rPr>
                <w:rFonts w:ascii="Arial Narrow" w:hAnsi="Arial Narrow"/>
                <w:b/>
                <w:sz w:val="22"/>
              </w:rPr>
              <w:t>nhaus bereits vor dem 01.01.202</w:t>
            </w:r>
            <w:r w:rsidR="000B5149">
              <w:rPr>
                <w:rFonts w:ascii="Arial Narrow" w:hAnsi="Arial Narrow"/>
                <w:b/>
                <w:sz w:val="22"/>
              </w:rPr>
              <w:t>4</w:t>
            </w:r>
            <w:r w:rsidR="00DC6CBD">
              <w:rPr>
                <w:rFonts w:ascii="Arial Narrow" w:hAnsi="Arial Narrow"/>
                <w:b/>
                <w:sz w:val="22"/>
              </w:rPr>
              <w:t xml:space="preserve"> eine Anfrage gemäß §6 Abs. 2 </w:t>
            </w:r>
            <w:proofErr w:type="spellStart"/>
            <w:r w:rsidR="00DC6CBD">
              <w:rPr>
                <w:rFonts w:ascii="Arial Narrow" w:hAnsi="Arial Narrow"/>
                <w:b/>
                <w:sz w:val="22"/>
              </w:rPr>
              <w:t>KHEntG</w:t>
            </w:r>
            <w:proofErr w:type="spellEnd"/>
            <w:r w:rsidR="00DC6CBD">
              <w:rPr>
                <w:rFonts w:ascii="Arial Narrow" w:hAnsi="Arial Narrow"/>
                <w:b/>
                <w:sz w:val="22"/>
              </w:rPr>
              <w:t xml:space="preserve"> an das </w:t>
            </w:r>
            <w:proofErr w:type="spellStart"/>
            <w:r w:rsidR="00DC6CBD">
              <w:rPr>
                <w:rFonts w:ascii="Arial Narrow" w:hAnsi="Arial Narrow"/>
                <w:b/>
                <w:sz w:val="22"/>
              </w:rPr>
              <w:t>InEK</w:t>
            </w:r>
            <w:proofErr w:type="spellEnd"/>
            <w:r w:rsidR="00DC6CBD">
              <w:rPr>
                <w:rFonts w:ascii="Arial Narrow" w:hAnsi="Arial Narrow"/>
                <w:b/>
                <w:sz w:val="22"/>
              </w:rPr>
              <w:t xml:space="preserve"> übermittelt</w:t>
            </w:r>
            <w:r w:rsidR="002333FF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492AB4" w:rsidRPr="005638EB" w14:paraId="3F239A32" w14:textId="77777777" w:rsidTr="0036178C">
        <w:tc>
          <w:tcPr>
            <w:tcW w:w="9212" w:type="dxa"/>
          </w:tcPr>
          <w:p w14:paraId="7DD0679B" w14:textId="44A0B8D6" w:rsidR="000B5149" w:rsidRPr="000B5149" w:rsidRDefault="00ED79AA" w:rsidP="00DB14F4">
            <w:pPr>
              <w:rPr>
                <w:rFonts w:ascii="Arial Narrow" w:hAnsi="Arial Narrow"/>
                <w:sz w:val="22"/>
                <w:highlight w:val="yellow"/>
              </w:rPr>
            </w:pPr>
            <w:r>
              <w:rPr>
                <w:rFonts w:ascii="Arial Narrow" w:hAnsi="Arial Narrow"/>
                <w:sz w:val="22"/>
                <w:highlight w:val="yellow"/>
              </w:rPr>
              <w:t>[</w:t>
            </w:r>
            <w:r w:rsidR="00DC6CBD" w:rsidRPr="00DC6CBD">
              <w:rPr>
                <w:rFonts w:ascii="Arial Narrow" w:hAnsi="Arial Narrow"/>
                <w:sz w:val="22"/>
                <w:highlight w:val="yellow"/>
              </w:rPr>
              <w:t>Ja/nein</w:t>
            </w:r>
            <w:r w:rsidRPr="00ED79AA">
              <w:rPr>
                <w:rFonts w:ascii="Arial Narrow" w:hAnsi="Arial Narrow"/>
                <w:sz w:val="22"/>
                <w:highlight w:val="yellow"/>
              </w:rPr>
              <w:t xml:space="preserve"> ankreuzen.</w:t>
            </w:r>
            <w:r w:rsidR="006C656D" w:rsidRPr="00ED79AA">
              <w:rPr>
                <w:rFonts w:ascii="Arial Narrow" w:hAnsi="Arial Narrow"/>
                <w:sz w:val="22"/>
                <w:highlight w:val="yellow"/>
              </w:rPr>
              <w:t xml:space="preserve"> </w:t>
            </w:r>
            <w:r w:rsidR="00C21654" w:rsidRPr="00ED79AA">
              <w:rPr>
                <w:rFonts w:ascii="Arial Narrow" w:hAnsi="Arial Narrow"/>
                <w:sz w:val="22"/>
                <w:highlight w:val="yellow"/>
              </w:rPr>
              <w:t xml:space="preserve">Bei </w:t>
            </w:r>
            <w:proofErr w:type="gramStart"/>
            <w:r w:rsidR="00C21654" w:rsidRPr="00ED79AA">
              <w:rPr>
                <w:rFonts w:ascii="Arial Narrow" w:hAnsi="Arial Narrow"/>
                <w:sz w:val="22"/>
                <w:highlight w:val="yellow"/>
              </w:rPr>
              <w:t>ja Nummer</w:t>
            </w:r>
            <w:proofErr w:type="gramEnd"/>
            <w:r w:rsidR="00C21654" w:rsidRPr="00ED79AA">
              <w:rPr>
                <w:rFonts w:ascii="Arial Narrow" w:hAnsi="Arial Narrow"/>
                <w:sz w:val="22"/>
                <w:highlight w:val="yellow"/>
              </w:rPr>
              <w:t xml:space="preserve"> aus Liste</w:t>
            </w:r>
            <w:r w:rsidRPr="00ED79AA">
              <w:rPr>
                <w:rFonts w:ascii="Arial Narrow" w:hAnsi="Arial Narrow"/>
                <w:sz w:val="22"/>
                <w:highlight w:val="yellow"/>
              </w:rPr>
              <w:t xml:space="preserve"> auswählen]</w:t>
            </w:r>
          </w:p>
        </w:tc>
      </w:tr>
    </w:tbl>
    <w:p w14:paraId="53DF57CA" w14:textId="77777777" w:rsidR="00492AB4" w:rsidRPr="005638EB" w:rsidRDefault="00492AB4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823808B" w14:textId="77777777">
        <w:tc>
          <w:tcPr>
            <w:tcW w:w="9212" w:type="dxa"/>
          </w:tcPr>
          <w:p w14:paraId="3A37C23D" w14:textId="6AFD43C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Beschreibung der neuen Methode</w:t>
            </w:r>
          </w:p>
        </w:tc>
      </w:tr>
      <w:tr w:rsidR="008E6675" w:rsidRPr="005638EB" w14:paraId="5696BA9D" w14:textId="77777777">
        <w:tc>
          <w:tcPr>
            <w:tcW w:w="9212" w:type="dxa"/>
          </w:tcPr>
          <w:p w14:paraId="1548A9DB" w14:textId="4EB61D74" w:rsidR="00700FA9" w:rsidRDefault="0036325A" w:rsidP="0036325A">
            <w:pPr>
              <w:rPr>
                <w:rFonts w:ascii="Arial Narrow" w:hAnsi="Arial Narrow"/>
                <w:sz w:val="22"/>
              </w:rPr>
            </w:pPr>
            <w:r w:rsidRPr="00700FA9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Wirkweise:</w:t>
            </w:r>
            <w:r w:rsidRPr="00700FA9">
              <w:rPr>
                <w:rFonts w:ascii="Arial Narrow" w:hAnsi="Arial Narrow"/>
                <w:color w:val="000000" w:themeColor="text1"/>
                <w:sz w:val="22"/>
              </w:rPr>
              <w:t xml:space="preserve"> </w:t>
            </w:r>
            <w:proofErr w:type="spellStart"/>
            <w:r w:rsidR="007D00EB">
              <w:rPr>
                <w:rFonts w:ascii="Arial Narrow" w:hAnsi="Arial Narrow"/>
                <w:sz w:val="22"/>
              </w:rPr>
              <w:t>Etranacogen</w:t>
            </w:r>
            <w:proofErr w:type="spellEnd"/>
            <w:r w:rsidR="007D00EB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EC002F">
              <w:rPr>
                <w:rFonts w:ascii="Arial Narrow" w:hAnsi="Arial Narrow"/>
                <w:sz w:val="22"/>
              </w:rPr>
              <w:t>d</w:t>
            </w:r>
            <w:r w:rsidR="007D00EB">
              <w:rPr>
                <w:rFonts w:ascii="Arial Narrow" w:hAnsi="Arial Narrow"/>
                <w:sz w:val="22"/>
              </w:rPr>
              <w:t>ezaparvovec</w:t>
            </w:r>
            <w:proofErr w:type="spellEnd"/>
            <w:r w:rsidR="007D00EB">
              <w:rPr>
                <w:rFonts w:ascii="Arial Narrow" w:hAnsi="Arial Narrow"/>
                <w:sz w:val="22"/>
              </w:rPr>
              <w:t xml:space="preserve"> (</w:t>
            </w:r>
            <w:proofErr w:type="spellStart"/>
            <w:r w:rsidR="007D00EB">
              <w:rPr>
                <w:rFonts w:ascii="Arial Narrow" w:hAnsi="Arial Narrow"/>
                <w:sz w:val="22"/>
              </w:rPr>
              <w:t>Hemgenix</w:t>
            </w:r>
            <w:proofErr w:type="spellEnd"/>
            <w:r w:rsidR="007D00EB">
              <w:rPr>
                <w:rFonts w:ascii="Arial Narrow" w:hAnsi="Arial Narrow"/>
                <w:sz w:val="22"/>
              </w:rPr>
              <w:t xml:space="preserve">®) </w:t>
            </w:r>
            <w:r w:rsidR="00AC5A59" w:rsidRPr="00AC5A59">
              <w:rPr>
                <w:rFonts w:ascii="Arial Narrow" w:hAnsi="Arial Narrow"/>
                <w:sz w:val="22"/>
              </w:rPr>
              <w:t xml:space="preserve">ist ein Gentherapieprodukt, mit dem eine </w:t>
            </w:r>
            <w:r w:rsidR="00EC002F">
              <w:rPr>
                <w:rFonts w:ascii="Arial Narrow" w:hAnsi="Arial Narrow"/>
                <w:sz w:val="22"/>
              </w:rPr>
              <w:t>funktions</w:t>
            </w:r>
            <w:r w:rsidR="00144EDB">
              <w:rPr>
                <w:rFonts w:ascii="Arial Narrow" w:hAnsi="Arial Narrow"/>
                <w:sz w:val="22"/>
              </w:rPr>
              <w:t>t</w:t>
            </w:r>
            <w:r w:rsidR="00EC002F">
              <w:rPr>
                <w:rFonts w:ascii="Arial Narrow" w:hAnsi="Arial Narrow"/>
                <w:sz w:val="22"/>
              </w:rPr>
              <w:t xml:space="preserve">üchtige </w:t>
            </w:r>
            <w:r w:rsidR="00AC5A59" w:rsidRPr="00AC5A59">
              <w:rPr>
                <w:rFonts w:ascii="Arial Narrow" w:hAnsi="Arial Narrow"/>
                <w:sz w:val="22"/>
              </w:rPr>
              <w:t>Kopie der kodierenden DNA</w:t>
            </w:r>
            <w:r w:rsidR="00B80F4C">
              <w:rPr>
                <w:rFonts w:ascii="Arial Narrow" w:hAnsi="Arial Narrow"/>
                <w:sz w:val="22"/>
              </w:rPr>
              <w:t>-</w:t>
            </w:r>
            <w:r w:rsidR="00AC5A59" w:rsidRPr="00AC5A59">
              <w:rPr>
                <w:rFonts w:ascii="Arial Narrow" w:hAnsi="Arial Narrow"/>
                <w:sz w:val="22"/>
              </w:rPr>
              <w:t xml:space="preserve">Sequenz des menschlichen Faktors IX in Hepatozyten eingebracht werden soll, um die Ursache der </w:t>
            </w:r>
            <w:r w:rsidR="00B80F4C" w:rsidRPr="00B80F4C">
              <w:rPr>
                <w:rFonts w:ascii="Arial Narrow" w:hAnsi="Arial Narrow"/>
                <w:sz w:val="22"/>
              </w:rPr>
              <w:t xml:space="preserve">Hämophilie-B-Erkrankung zu beheben. </w:t>
            </w:r>
          </w:p>
          <w:p w14:paraId="17B91E6E" w14:textId="01B6C3D2" w:rsidR="00C96292" w:rsidRDefault="007D00EB" w:rsidP="0036325A">
            <w:pPr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Etranacogen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EC002F">
              <w:rPr>
                <w:rFonts w:ascii="Arial Narrow" w:hAnsi="Arial Narrow"/>
                <w:sz w:val="22"/>
              </w:rPr>
              <w:t>d</w:t>
            </w:r>
            <w:r>
              <w:rPr>
                <w:rFonts w:ascii="Arial Narrow" w:hAnsi="Arial Narrow"/>
                <w:sz w:val="22"/>
              </w:rPr>
              <w:t>ezaparvovec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</w:t>
            </w:r>
            <w:r w:rsidR="00B80F4C" w:rsidRPr="00B80F4C">
              <w:rPr>
                <w:rFonts w:ascii="Arial Narrow" w:hAnsi="Arial Narrow"/>
                <w:sz w:val="22"/>
              </w:rPr>
              <w:t xml:space="preserve">besteht aus einer Codon-optimierten kodierenden DNA-Sequenz der </w:t>
            </w:r>
            <w:r w:rsidR="00EC002F">
              <w:rPr>
                <w:rFonts w:ascii="Arial Narrow" w:hAnsi="Arial Narrow"/>
                <w:sz w:val="22"/>
              </w:rPr>
              <w:t>natürlichen</w:t>
            </w:r>
            <w:r w:rsidR="00B80F4C" w:rsidRPr="00B80F4C">
              <w:rPr>
                <w:rFonts w:ascii="Arial Narrow" w:hAnsi="Arial Narrow"/>
                <w:sz w:val="22"/>
              </w:rPr>
              <w:t>-Padua-Variante des menschlichen Faktors IX (</w:t>
            </w:r>
            <w:proofErr w:type="spellStart"/>
            <w:r w:rsidR="00B80F4C" w:rsidRPr="00B80F4C">
              <w:rPr>
                <w:rFonts w:ascii="Arial Narrow" w:hAnsi="Arial Narrow"/>
                <w:sz w:val="22"/>
              </w:rPr>
              <w:t>hFIXcoPadua</w:t>
            </w:r>
            <w:proofErr w:type="spellEnd"/>
            <w:r w:rsidR="00B80F4C" w:rsidRPr="00B80F4C">
              <w:rPr>
                <w:rFonts w:ascii="Arial Narrow" w:hAnsi="Arial Narrow"/>
                <w:sz w:val="22"/>
              </w:rPr>
              <w:t>), die unter Kontrolle des leberspezifischen LP1-Promoters steht und in den nicht replizierenden rekombinanten Adeno</w:t>
            </w:r>
            <w:r w:rsidR="00EC002F">
              <w:rPr>
                <w:rFonts w:ascii="Arial Narrow" w:hAnsi="Arial Narrow"/>
                <w:sz w:val="22"/>
              </w:rPr>
              <w:t>virus</w:t>
            </w:r>
            <w:r w:rsidR="00B80F4C" w:rsidRPr="00B80F4C">
              <w:rPr>
                <w:rFonts w:ascii="Arial Narrow" w:hAnsi="Arial Narrow"/>
                <w:sz w:val="22"/>
              </w:rPr>
              <w:t xml:space="preserve">-assoziierten viralen Vektor des Serotyps 5 (AAV5) eingebaut ist (AAV5)). Nach einmaliger intravenöser Infusion </w:t>
            </w:r>
            <w:r w:rsidR="00EC002F">
              <w:rPr>
                <w:rFonts w:ascii="Arial Narrow" w:hAnsi="Arial Narrow"/>
                <w:sz w:val="22"/>
              </w:rPr>
              <w:t>gelangt</w:t>
            </w:r>
            <w:r w:rsidR="00B80F4C" w:rsidRPr="00B80F4C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B80F4C" w:rsidRPr="00B80F4C">
              <w:rPr>
                <w:rFonts w:ascii="Arial Narrow" w:hAnsi="Arial Narrow"/>
                <w:sz w:val="22"/>
              </w:rPr>
              <w:t>Etranacogen</w:t>
            </w:r>
            <w:proofErr w:type="spellEnd"/>
            <w:r w:rsidR="00B80F4C" w:rsidRPr="00B80F4C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B80F4C" w:rsidRPr="00B80F4C">
              <w:rPr>
                <w:rFonts w:ascii="Arial Narrow" w:hAnsi="Arial Narrow"/>
                <w:sz w:val="22"/>
              </w:rPr>
              <w:t>dezaparvovec</w:t>
            </w:r>
            <w:proofErr w:type="spellEnd"/>
            <w:r w:rsidR="00B80F4C" w:rsidRPr="00B80F4C">
              <w:rPr>
                <w:rFonts w:ascii="Arial Narrow" w:hAnsi="Arial Narrow"/>
                <w:sz w:val="22"/>
              </w:rPr>
              <w:t xml:space="preserve"> </w:t>
            </w:r>
            <w:r w:rsidR="00EC002F">
              <w:rPr>
                <w:rFonts w:ascii="Arial Narrow" w:hAnsi="Arial Narrow"/>
                <w:sz w:val="22"/>
              </w:rPr>
              <w:t>in die Hepatozyten</w:t>
            </w:r>
            <w:r w:rsidR="00B80F4C" w:rsidRPr="00B80F4C">
              <w:rPr>
                <w:rFonts w:ascii="Arial Narrow" w:hAnsi="Arial Narrow"/>
                <w:sz w:val="22"/>
              </w:rPr>
              <w:t xml:space="preserve">, in denen die Vektor-DNA </w:t>
            </w:r>
            <w:r w:rsidR="00EC002F">
              <w:rPr>
                <w:rFonts w:ascii="Arial Narrow" w:hAnsi="Arial Narrow"/>
                <w:sz w:val="22"/>
              </w:rPr>
              <w:t xml:space="preserve">im Anschluss </w:t>
            </w:r>
            <w:r w:rsidR="00B80F4C" w:rsidRPr="00B80F4C">
              <w:rPr>
                <w:rFonts w:ascii="Arial Narrow" w:hAnsi="Arial Narrow"/>
                <w:sz w:val="22"/>
              </w:rPr>
              <w:t xml:space="preserve">fast ausschließlich in </w:t>
            </w:r>
            <w:proofErr w:type="spellStart"/>
            <w:r w:rsidR="00B80F4C" w:rsidRPr="00B80F4C">
              <w:rPr>
                <w:rFonts w:ascii="Arial Narrow" w:hAnsi="Arial Narrow"/>
                <w:sz w:val="22"/>
              </w:rPr>
              <w:t>episomaler</w:t>
            </w:r>
            <w:proofErr w:type="spellEnd"/>
            <w:r w:rsidR="00B80F4C" w:rsidRPr="00B80F4C">
              <w:rPr>
                <w:rFonts w:ascii="Arial Narrow" w:hAnsi="Arial Narrow"/>
                <w:sz w:val="22"/>
              </w:rPr>
              <w:t xml:space="preserve"> Form vorliegt</w:t>
            </w:r>
            <w:r w:rsidR="00B80F4C">
              <w:rPr>
                <w:rFonts w:ascii="Arial Narrow" w:hAnsi="Arial Narrow"/>
                <w:sz w:val="22"/>
              </w:rPr>
              <w:t xml:space="preserve">. </w:t>
            </w:r>
            <w:r w:rsidR="00B80F4C" w:rsidRPr="00B80F4C">
              <w:rPr>
                <w:rFonts w:ascii="Arial Narrow" w:hAnsi="Arial Narrow"/>
                <w:sz w:val="22"/>
              </w:rPr>
              <w:t xml:space="preserve">Nach der Transduktion </w:t>
            </w:r>
            <w:r w:rsidR="00EC002F">
              <w:rPr>
                <w:rFonts w:ascii="Arial Narrow" w:hAnsi="Arial Narrow"/>
                <w:sz w:val="22"/>
              </w:rPr>
              <w:t xml:space="preserve">führt </w:t>
            </w:r>
            <w:proofErr w:type="spellStart"/>
            <w:r w:rsidR="00B80F4C" w:rsidRPr="00B80F4C">
              <w:rPr>
                <w:rFonts w:ascii="Arial Narrow" w:hAnsi="Arial Narrow"/>
                <w:sz w:val="22"/>
              </w:rPr>
              <w:t>Etranacogen</w:t>
            </w:r>
            <w:proofErr w:type="spellEnd"/>
            <w:r w:rsidR="00B80F4C" w:rsidRPr="00B80F4C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B80F4C" w:rsidRPr="00B80F4C">
              <w:rPr>
                <w:rFonts w:ascii="Arial Narrow" w:hAnsi="Arial Narrow"/>
                <w:sz w:val="22"/>
              </w:rPr>
              <w:t>dezaparvovec</w:t>
            </w:r>
            <w:proofErr w:type="spellEnd"/>
            <w:r w:rsidR="00B80F4C" w:rsidRPr="00B80F4C">
              <w:rPr>
                <w:rFonts w:ascii="Arial Narrow" w:hAnsi="Arial Narrow"/>
                <w:sz w:val="22"/>
              </w:rPr>
              <w:t xml:space="preserve"> </w:t>
            </w:r>
            <w:r w:rsidR="00EC002F">
              <w:rPr>
                <w:rFonts w:ascii="Arial Narrow" w:hAnsi="Arial Narrow"/>
                <w:sz w:val="22"/>
              </w:rPr>
              <w:t xml:space="preserve">zur </w:t>
            </w:r>
            <w:r w:rsidR="00B80F4C" w:rsidRPr="00B80F4C">
              <w:rPr>
                <w:rFonts w:ascii="Arial Narrow" w:hAnsi="Arial Narrow"/>
                <w:sz w:val="22"/>
              </w:rPr>
              <w:t>langfristige</w:t>
            </w:r>
            <w:r w:rsidR="00EC002F">
              <w:rPr>
                <w:rFonts w:ascii="Arial Narrow" w:hAnsi="Arial Narrow"/>
                <w:sz w:val="22"/>
              </w:rPr>
              <w:t>n</w:t>
            </w:r>
            <w:r w:rsidR="00B80F4C" w:rsidRPr="00B80F4C">
              <w:rPr>
                <w:rFonts w:ascii="Arial Narrow" w:hAnsi="Arial Narrow"/>
                <w:sz w:val="22"/>
              </w:rPr>
              <w:t xml:space="preserve"> Expression des Faktor-IX-Padua-Proteins</w:t>
            </w:r>
            <w:r w:rsidR="00EC002F">
              <w:rPr>
                <w:rFonts w:ascii="Arial Narrow" w:hAnsi="Arial Narrow"/>
                <w:sz w:val="22"/>
              </w:rPr>
              <w:t xml:space="preserve"> durch die Leber</w:t>
            </w:r>
            <w:r w:rsidR="00B80F4C" w:rsidRPr="00B80F4C">
              <w:rPr>
                <w:rFonts w:ascii="Arial Narrow" w:hAnsi="Arial Narrow"/>
                <w:sz w:val="22"/>
              </w:rPr>
              <w:t xml:space="preserve">. Infolgedessen verbessert </w:t>
            </w:r>
            <w:proofErr w:type="spellStart"/>
            <w:r w:rsidR="00B80F4C" w:rsidRPr="00B80F4C">
              <w:rPr>
                <w:rFonts w:ascii="Arial Narrow" w:hAnsi="Arial Narrow"/>
                <w:sz w:val="22"/>
              </w:rPr>
              <w:t>Etranacogen</w:t>
            </w:r>
            <w:proofErr w:type="spellEnd"/>
            <w:r w:rsidR="00B80F4C" w:rsidRPr="00B80F4C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B80F4C" w:rsidRPr="00B80F4C">
              <w:rPr>
                <w:rFonts w:ascii="Arial Narrow" w:hAnsi="Arial Narrow"/>
                <w:sz w:val="22"/>
              </w:rPr>
              <w:t>dezaparvovec</w:t>
            </w:r>
            <w:proofErr w:type="spellEnd"/>
            <w:r w:rsidR="00B80F4C" w:rsidRPr="00B80F4C">
              <w:rPr>
                <w:rFonts w:ascii="Arial Narrow" w:hAnsi="Arial Narrow"/>
                <w:sz w:val="22"/>
              </w:rPr>
              <w:t xml:space="preserve"> den Mangel an </w:t>
            </w:r>
            <w:r w:rsidR="00EC002F">
              <w:rPr>
                <w:rFonts w:ascii="Arial Narrow" w:hAnsi="Arial Narrow"/>
                <w:sz w:val="22"/>
              </w:rPr>
              <w:t xml:space="preserve">funktionstüchtigem </w:t>
            </w:r>
            <w:proofErr w:type="spellStart"/>
            <w:r w:rsidR="00B80F4C" w:rsidRPr="00B80F4C">
              <w:rPr>
                <w:rFonts w:ascii="Arial Narrow" w:hAnsi="Arial Narrow"/>
                <w:sz w:val="22"/>
              </w:rPr>
              <w:t>prokoagulatorische</w:t>
            </w:r>
            <w:r w:rsidR="00EC002F">
              <w:rPr>
                <w:rFonts w:ascii="Arial Narrow" w:hAnsi="Arial Narrow"/>
                <w:sz w:val="22"/>
              </w:rPr>
              <w:t>m</w:t>
            </w:r>
            <w:proofErr w:type="spellEnd"/>
            <w:r w:rsidR="00B80F4C" w:rsidRPr="00B80F4C">
              <w:rPr>
                <w:rFonts w:ascii="Arial Narrow" w:hAnsi="Arial Narrow"/>
                <w:sz w:val="22"/>
              </w:rPr>
              <w:t xml:space="preserve"> Faktor-IX-Aktivität </w:t>
            </w:r>
            <w:r w:rsidR="00EC002F">
              <w:rPr>
                <w:rFonts w:ascii="Arial Narrow" w:hAnsi="Arial Narrow"/>
                <w:sz w:val="22"/>
              </w:rPr>
              <w:t xml:space="preserve">im Körper des </w:t>
            </w:r>
            <w:r w:rsidR="00B80F4C" w:rsidRPr="00B80F4C">
              <w:rPr>
                <w:rFonts w:ascii="Arial Narrow" w:hAnsi="Arial Narrow"/>
                <w:sz w:val="22"/>
              </w:rPr>
              <w:t xml:space="preserve">Patienten mit Hämophilie B teilweise oder vollständig. </w:t>
            </w:r>
          </w:p>
          <w:p w14:paraId="0CA0EC6A" w14:textId="5C4D2CB6" w:rsidR="008E6675" w:rsidRDefault="008E6675" w:rsidP="0036325A">
            <w:pPr>
              <w:rPr>
                <w:rFonts w:ascii="Arial Narrow" w:hAnsi="Arial Narrow"/>
              </w:rPr>
            </w:pPr>
            <w:r w:rsidRPr="005638EB">
              <w:rPr>
                <w:rFonts w:ascii="Arial Narrow" w:hAnsi="Arial Narrow"/>
                <w:sz w:val="22"/>
              </w:rPr>
              <w:t xml:space="preserve"> </w:t>
            </w:r>
          </w:p>
          <w:p w14:paraId="61347C44" w14:textId="7A3C7174" w:rsidR="00031D9C" w:rsidRDefault="0036325A" w:rsidP="005638EB">
            <w:pPr>
              <w:rPr>
                <w:rFonts w:ascii="Arial Narrow" w:hAnsi="Arial Narrow"/>
                <w:sz w:val="22"/>
              </w:rPr>
            </w:pPr>
            <w:r w:rsidRPr="00700FA9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Evidenzlage:</w:t>
            </w:r>
            <w:r w:rsidRPr="00700FA9">
              <w:rPr>
                <w:rFonts w:ascii="Arial Narrow" w:hAnsi="Arial Narrow"/>
                <w:color w:val="000000" w:themeColor="text1"/>
                <w:sz w:val="22"/>
              </w:rPr>
              <w:t xml:space="preserve"> </w:t>
            </w:r>
            <w:r w:rsidR="005C332E" w:rsidRPr="005C332E">
              <w:rPr>
                <w:rFonts w:ascii="Arial Narrow" w:hAnsi="Arial Narrow"/>
                <w:sz w:val="22"/>
              </w:rPr>
              <w:t>Das primäre Wirksamkeitsziel für die Phase-III-Studie war die Beurteilung der Reduktion der annualisierten Blutungsrate (ABR) zwischen Monat 7 und 18 nach der Verabreichung, d. h. nach dem Erreichen einer stabilen Faktor-IX-Expression bis Monat 6 nach der Verabreichung, im Vergleich zum Lead-In-Beobachtungszeitraum. Zu diesem Zweck wurden alle Blutungse</w:t>
            </w:r>
            <w:r w:rsidR="00EC002F">
              <w:rPr>
                <w:rFonts w:ascii="Arial Narrow" w:hAnsi="Arial Narrow"/>
                <w:sz w:val="22"/>
              </w:rPr>
              <w:t xml:space="preserve">reignisse vor und nach der Therapie mit </w:t>
            </w:r>
            <w:proofErr w:type="spellStart"/>
            <w:r w:rsidR="00EC002F">
              <w:rPr>
                <w:rFonts w:ascii="Arial Narrow" w:hAnsi="Arial Narrow"/>
                <w:sz w:val="22"/>
              </w:rPr>
              <w:t>Etranacogen</w:t>
            </w:r>
            <w:proofErr w:type="spellEnd"/>
            <w:r w:rsidR="00EC002F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EC002F">
              <w:rPr>
                <w:rFonts w:ascii="Arial Narrow" w:hAnsi="Arial Narrow"/>
                <w:sz w:val="22"/>
              </w:rPr>
              <w:t>dezaparvovec</w:t>
            </w:r>
            <w:proofErr w:type="spellEnd"/>
            <w:r w:rsidR="00EC002F">
              <w:rPr>
                <w:rFonts w:ascii="Arial Narrow" w:hAnsi="Arial Narrow"/>
                <w:sz w:val="22"/>
              </w:rPr>
              <w:t xml:space="preserve"> verglichen</w:t>
            </w:r>
            <w:r w:rsidR="005C332E" w:rsidRPr="005C332E">
              <w:rPr>
                <w:rFonts w:ascii="Arial Narrow" w:hAnsi="Arial Narrow"/>
                <w:sz w:val="22"/>
              </w:rPr>
              <w:t xml:space="preserve">. Die Wirksamkeitsergebnisse zeigten eine </w:t>
            </w:r>
            <w:r w:rsidR="00EC002F">
              <w:rPr>
                <w:rFonts w:ascii="Arial Narrow" w:hAnsi="Arial Narrow"/>
                <w:sz w:val="22"/>
              </w:rPr>
              <w:t xml:space="preserve">signifikante </w:t>
            </w:r>
            <w:r w:rsidR="005C332E" w:rsidRPr="005C332E">
              <w:rPr>
                <w:rFonts w:ascii="Arial Narrow" w:hAnsi="Arial Narrow"/>
                <w:sz w:val="22"/>
              </w:rPr>
              <w:t xml:space="preserve">Überlegenheit von </w:t>
            </w:r>
            <w:proofErr w:type="spellStart"/>
            <w:r w:rsidR="005C332E" w:rsidRPr="005C332E">
              <w:rPr>
                <w:rFonts w:ascii="Arial Narrow" w:hAnsi="Arial Narrow"/>
                <w:sz w:val="22"/>
              </w:rPr>
              <w:t>Etranacogen</w:t>
            </w:r>
            <w:proofErr w:type="spellEnd"/>
            <w:r w:rsidR="005C332E" w:rsidRPr="005C332E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EC002F">
              <w:rPr>
                <w:rFonts w:ascii="Arial Narrow" w:hAnsi="Arial Narrow"/>
                <w:sz w:val="22"/>
              </w:rPr>
              <w:t>d</w:t>
            </w:r>
            <w:r w:rsidR="005C332E" w:rsidRPr="005C332E">
              <w:rPr>
                <w:rFonts w:ascii="Arial Narrow" w:hAnsi="Arial Narrow"/>
                <w:sz w:val="22"/>
              </w:rPr>
              <w:t>ezaparvovec</w:t>
            </w:r>
            <w:proofErr w:type="spellEnd"/>
            <w:r w:rsidR="005C332E" w:rsidRPr="005C332E">
              <w:rPr>
                <w:rFonts w:ascii="Arial Narrow" w:hAnsi="Arial Narrow"/>
                <w:sz w:val="22"/>
              </w:rPr>
              <w:t xml:space="preserve"> gegenüber der kontinuierlichen routinemäßigen Faktor-IX-Prophylaxe</w:t>
            </w:r>
            <w:r w:rsidR="00EC002F">
              <w:rPr>
                <w:rFonts w:ascii="Arial Narrow" w:hAnsi="Arial Narrow"/>
                <w:sz w:val="22"/>
              </w:rPr>
              <w:t xml:space="preserve"> und zudem eine – </w:t>
            </w:r>
            <w:r w:rsidR="00EF2D61">
              <w:rPr>
                <w:rFonts w:ascii="Arial Narrow" w:hAnsi="Arial Narrow"/>
                <w:sz w:val="22"/>
              </w:rPr>
              <w:t>inzwischen</w:t>
            </w:r>
            <w:r w:rsidR="00EC002F">
              <w:rPr>
                <w:rFonts w:ascii="Arial Narrow" w:hAnsi="Arial Narrow"/>
                <w:sz w:val="22"/>
              </w:rPr>
              <w:t xml:space="preserve"> über bereits 4 Jahre nachgewiesene – stabile Expression des Faktor-IX</w:t>
            </w:r>
            <w:r w:rsidR="00031D9C">
              <w:rPr>
                <w:rFonts w:ascii="Arial Narrow" w:hAnsi="Arial Narrow"/>
                <w:sz w:val="22"/>
              </w:rPr>
              <w:t>.</w:t>
            </w:r>
          </w:p>
          <w:p w14:paraId="53886E92" w14:textId="77777777" w:rsidR="000153FB" w:rsidRDefault="000153FB" w:rsidP="005638EB">
            <w:pPr>
              <w:rPr>
                <w:rFonts w:ascii="Arial Narrow" w:hAnsi="Arial Narrow"/>
                <w:sz w:val="22"/>
              </w:rPr>
            </w:pPr>
          </w:p>
          <w:p w14:paraId="7BAE07A0" w14:textId="3AFC2570" w:rsidR="00C96292" w:rsidRDefault="00031D9C" w:rsidP="005638EB">
            <w:pPr>
              <w:rPr>
                <w:rFonts w:ascii="Arial Narrow" w:hAnsi="Arial Narrow"/>
                <w:sz w:val="22"/>
              </w:rPr>
            </w:pPr>
            <w:r w:rsidRPr="00031D9C">
              <w:rPr>
                <w:rFonts w:ascii="Arial Narrow" w:hAnsi="Arial Narrow"/>
                <w:sz w:val="22"/>
              </w:rPr>
              <w:t>96 % aller Patienten in der Zulassungsstudie HOPE-B benötigten nach der Infusion der Gentherapie keine routinemäßige Faktor-IX-Prophylaxe mehr, was bei den Studienteilnehmern zu einer Verbesserung der Lebensqualität führte</w:t>
            </w:r>
            <w:r w:rsidR="00A220FC">
              <w:rPr>
                <w:rFonts w:ascii="Arial Narrow" w:hAnsi="Arial Narrow"/>
                <w:sz w:val="22"/>
              </w:rPr>
              <w:t xml:space="preserve"> (</w:t>
            </w:r>
            <w:r w:rsidR="00A220FC" w:rsidRPr="00A220FC">
              <w:rPr>
                <w:rFonts w:ascii="Arial Narrow" w:hAnsi="Arial Narrow"/>
                <w:sz w:val="22"/>
              </w:rPr>
              <w:t xml:space="preserve">HOPE-B ClinicalTrials.gov </w:t>
            </w:r>
            <w:proofErr w:type="spellStart"/>
            <w:r w:rsidR="00A220FC" w:rsidRPr="00A220FC">
              <w:rPr>
                <w:rFonts w:ascii="Arial Narrow" w:hAnsi="Arial Narrow"/>
                <w:sz w:val="22"/>
              </w:rPr>
              <w:t>number</w:t>
            </w:r>
            <w:proofErr w:type="spellEnd"/>
            <w:r w:rsidR="008161AD">
              <w:rPr>
                <w:rFonts w:ascii="Arial Narrow" w:hAnsi="Arial Narrow"/>
                <w:sz w:val="22"/>
              </w:rPr>
              <w:t xml:space="preserve">: </w:t>
            </w:r>
            <w:r w:rsidR="00A220FC" w:rsidRPr="008161AD">
              <w:rPr>
                <w:rFonts w:ascii="Arial Narrow" w:hAnsi="Arial Narrow"/>
                <w:sz w:val="22"/>
              </w:rPr>
              <w:t>NCT03569891</w:t>
            </w:r>
            <w:r w:rsidR="00A220FC">
              <w:rPr>
                <w:rFonts w:ascii="Arial Narrow" w:hAnsi="Arial Narrow"/>
                <w:sz w:val="22"/>
              </w:rPr>
              <w:t xml:space="preserve"> / Publikation: </w:t>
            </w:r>
            <w:r w:rsidR="000153FB" w:rsidRPr="000153FB">
              <w:rPr>
                <w:rFonts w:ascii="Arial Narrow" w:hAnsi="Arial Narrow"/>
                <w:sz w:val="22"/>
              </w:rPr>
              <w:t>DOI: 10.1056/NEJMoa2211644</w:t>
            </w:r>
            <w:r w:rsidR="00A220FC">
              <w:rPr>
                <w:rFonts w:ascii="Arial Narrow" w:hAnsi="Arial Narrow"/>
                <w:sz w:val="22"/>
              </w:rPr>
              <w:t>)</w:t>
            </w:r>
            <w:r w:rsidR="00B2328A">
              <w:rPr>
                <w:rFonts w:ascii="Arial Narrow" w:hAnsi="Arial Narrow"/>
                <w:sz w:val="22"/>
              </w:rPr>
              <w:t>.</w:t>
            </w:r>
          </w:p>
          <w:p w14:paraId="2C585F62" w14:textId="77777777" w:rsidR="00A220FC" w:rsidRPr="00A220FC" w:rsidRDefault="00A220FC" w:rsidP="005638EB">
            <w:pPr>
              <w:rPr>
                <w:rFonts w:ascii="Arial Narrow" w:hAnsi="Arial Narrow"/>
                <w:sz w:val="22"/>
              </w:rPr>
            </w:pPr>
          </w:p>
          <w:p w14:paraId="0AF79188" w14:textId="44C53B04" w:rsidR="00DB14F4" w:rsidRPr="00700FA9" w:rsidRDefault="0036325A" w:rsidP="0078272D">
            <w:pPr>
              <w:rPr>
                <w:rFonts w:ascii="Arial Narrow" w:hAnsi="Arial Narrow"/>
                <w:sz w:val="22"/>
                <w:lang w:val="de-CH"/>
              </w:rPr>
            </w:pPr>
            <w:r w:rsidRPr="00700FA9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Dosi</w:t>
            </w:r>
            <w:r w:rsidR="004C4F82" w:rsidRPr="00700FA9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erung</w:t>
            </w:r>
            <w:r w:rsidRPr="00700FA9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:</w:t>
            </w:r>
            <w:r w:rsidRPr="00700FA9">
              <w:rPr>
                <w:rFonts w:ascii="Arial Narrow" w:hAnsi="Arial Narrow"/>
                <w:color w:val="000000" w:themeColor="text1"/>
                <w:sz w:val="22"/>
              </w:rPr>
              <w:t xml:space="preserve"> </w:t>
            </w:r>
            <w:r w:rsidR="008E6675" w:rsidRPr="005638EB">
              <w:rPr>
                <w:rFonts w:ascii="Arial Narrow" w:hAnsi="Arial Narrow"/>
                <w:sz w:val="22"/>
                <w:lang w:val="de-CH"/>
              </w:rPr>
              <w:t xml:space="preserve">Die empfohlene Dosis für </w:t>
            </w:r>
            <w:proofErr w:type="spellStart"/>
            <w:r w:rsidR="007D00EB">
              <w:rPr>
                <w:rFonts w:ascii="Arial Narrow" w:hAnsi="Arial Narrow"/>
                <w:sz w:val="22"/>
                <w:lang w:val="de-CH"/>
              </w:rPr>
              <w:t>Etranacogen</w:t>
            </w:r>
            <w:proofErr w:type="spellEnd"/>
            <w:r w:rsidR="007D00EB">
              <w:rPr>
                <w:rFonts w:ascii="Arial Narrow" w:hAnsi="Arial Narrow"/>
                <w:sz w:val="22"/>
                <w:lang w:val="de-CH"/>
              </w:rPr>
              <w:t xml:space="preserve"> </w:t>
            </w:r>
            <w:proofErr w:type="spellStart"/>
            <w:r w:rsidR="00EC002F">
              <w:rPr>
                <w:rFonts w:ascii="Arial Narrow" w:hAnsi="Arial Narrow"/>
                <w:sz w:val="22"/>
                <w:lang w:val="de-CH"/>
              </w:rPr>
              <w:t>d</w:t>
            </w:r>
            <w:r w:rsidR="007D00EB">
              <w:rPr>
                <w:rFonts w:ascii="Arial Narrow" w:hAnsi="Arial Narrow"/>
                <w:sz w:val="22"/>
                <w:lang w:val="de-CH"/>
              </w:rPr>
              <w:t>ezaparvovec</w:t>
            </w:r>
            <w:proofErr w:type="spellEnd"/>
            <w:r w:rsidR="007D00EB">
              <w:rPr>
                <w:rFonts w:ascii="Arial Narrow" w:hAnsi="Arial Narrow"/>
                <w:sz w:val="22"/>
                <w:lang w:val="de-CH"/>
              </w:rPr>
              <w:t xml:space="preserve"> (</w:t>
            </w:r>
            <w:proofErr w:type="spellStart"/>
            <w:r w:rsidR="007D00EB">
              <w:rPr>
                <w:rFonts w:ascii="Arial Narrow" w:hAnsi="Arial Narrow"/>
                <w:sz w:val="22"/>
                <w:lang w:val="de-CH"/>
              </w:rPr>
              <w:t>Hemgenix</w:t>
            </w:r>
            <w:proofErr w:type="spellEnd"/>
            <w:r w:rsidR="007D00EB">
              <w:rPr>
                <w:rFonts w:ascii="Arial Narrow" w:hAnsi="Arial Narrow"/>
                <w:sz w:val="22"/>
                <w:lang w:val="de-CH"/>
              </w:rPr>
              <w:t xml:space="preserve">®) </w:t>
            </w:r>
            <w:r w:rsidR="00D62367">
              <w:rPr>
                <w:rFonts w:ascii="Arial Narrow" w:hAnsi="Arial Narrow"/>
                <w:sz w:val="22"/>
                <w:lang w:val="de-CH"/>
              </w:rPr>
              <w:t xml:space="preserve">ist </w:t>
            </w:r>
            <w:r w:rsidR="008F134D" w:rsidRPr="008F134D">
              <w:rPr>
                <w:rFonts w:ascii="Arial Narrow" w:hAnsi="Arial Narrow"/>
                <w:sz w:val="22"/>
                <w:lang w:val="de-CH"/>
              </w:rPr>
              <w:t>eine Einzeldosis von 2 x 10</w:t>
            </w:r>
            <w:r w:rsidR="00CC682C" w:rsidRPr="00CC682C">
              <w:rPr>
                <w:rFonts w:ascii="Arial Narrow" w:hAnsi="Arial Narrow"/>
                <w:sz w:val="22"/>
                <w:lang w:val="de-CH"/>
              </w:rPr>
              <w:t>¹³</w:t>
            </w:r>
            <w:r w:rsidR="00CC682C">
              <w:rPr>
                <w:rFonts w:ascii="Arial Narrow" w:hAnsi="Arial Narrow"/>
                <w:sz w:val="22"/>
                <w:lang w:val="de-CH"/>
              </w:rPr>
              <w:t xml:space="preserve"> </w:t>
            </w:r>
            <w:proofErr w:type="spellStart"/>
            <w:r w:rsidR="008F134D" w:rsidRPr="008F134D">
              <w:rPr>
                <w:rFonts w:ascii="Arial Narrow" w:hAnsi="Arial Narrow"/>
                <w:sz w:val="22"/>
                <w:lang w:val="de-CH"/>
              </w:rPr>
              <w:t>gc</w:t>
            </w:r>
            <w:proofErr w:type="spellEnd"/>
            <w:r w:rsidR="008F134D" w:rsidRPr="008F134D">
              <w:rPr>
                <w:rFonts w:ascii="Arial Narrow" w:hAnsi="Arial Narrow"/>
                <w:sz w:val="22"/>
                <w:lang w:val="de-CH"/>
              </w:rPr>
              <w:t xml:space="preserve">/kg Körpergewicht, entsprechend 2 ml/kg Körpergewicht, verabreicht als intravenöse Infusion nach </w:t>
            </w:r>
            <w:r w:rsidR="008F134D" w:rsidRPr="008F134D">
              <w:rPr>
                <w:rFonts w:ascii="Arial Narrow" w:hAnsi="Arial Narrow"/>
                <w:sz w:val="22"/>
                <w:lang w:val="de-CH"/>
              </w:rPr>
              <w:lastRenderedPageBreak/>
              <w:t>Verdünnung mit 9 mg/ml (0,9 %) Natriumchlorid-Injektionslösung</w:t>
            </w:r>
            <w:r w:rsidR="008F134D">
              <w:rPr>
                <w:rFonts w:ascii="Arial Narrow" w:hAnsi="Arial Narrow"/>
                <w:sz w:val="22"/>
                <w:lang w:val="de-CH"/>
              </w:rPr>
              <w:t xml:space="preserve">. Es </w:t>
            </w:r>
            <w:r w:rsidR="008F134D" w:rsidRPr="008F134D">
              <w:rPr>
                <w:rFonts w:ascii="Arial Narrow" w:hAnsi="Arial Narrow"/>
                <w:sz w:val="22"/>
                <w:lang w:val="de-CH"/>
              </w:rPr>
              <w:t xml:space="preserve">kann </w:t>
            </w:r>
            <w:r w:rsidR="00EC002F">
              <w:rPr>
                <w:rFonts w:ascii="Arial Narrow" w:hAnsi="Arial Narrow"/>
                <w:sz w:val="22"/>
                <w:lang w:val="de-CH"/>
              </w:rPr>
              <w:t xml:space="preserve">nach heutigem Kenntnisstand </w:t>
            </w:r>
            <w:r w:rsidR="008F134D" w:rsidRPr="008F134D">
              <w:rPr>
                <w:rFonts w:ascii="Arial Narrow" w:hAnsi="Arial Narrow"/>
                <w:sz w:val="22"/>
                <w:lang w:val="de-CH"/>
              </w:rPr>
              <w:t xml:space="preserve">nur einmal verabreicht werden. </w:t>
            </w:r>
          </w:p>
        </w:tc>
      </w:tr>
    </w:tbl>
    <w:p w14:paraId="6F81F951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3F33158" w14:textId="77777777">
        <w:tc>
          <w:tcPr>
            <w:tcW w:w="9212" w:type="dxa"/>
          </w:tcPr>
          <w:p w14:paraId="684681EC" w14:textId="7F246CCE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Mit welchem OPS wird die Methode verschlüsselt?</w:t>
            </w:r>
          </w:p>
        </w:tc>
      </w:tr>
      <w:tr w:rsidR="008E6675" w:rsidRPr="006354B6" w14:paraId="5C95386E" w14:textId="77777777">
        <w:tc>
          <w:tcPr>
            <w:tcW w:w="9212" w:type="dxa"/>
          </w:tcPr>
          <w:p w14:paraId="276EB151" w14:textId="3DD55E88" w:rsidR="00CC7E5F" w:rsidRPr="006354B6" w:rsidRDefault="00624DAD" w:rsidP="00435583">
            <w:pPr>
              <w:rPr>
                <w:rFonts w:ascii="Arial Narrow" w:hAnsi="Arial Narrow"/>
                <w:sz w:val="22"/>
              </w:rPr>
            </w:pPr>
            <w:r w:rsidRPr="00624DAD">
              <w:rPr>
                <w:rFonts w:ascii="Arial Narrow" w:hAnsi="Arial Narrow"/>
                <w:color w:val="000000" w:themeColor="text1"/>
                <w:sz w:val="22"/>
              </w:rPr>
              <w:t>6-00j.1</w:t>
            </w:r>
          </w:p>
        </w:tc>
      </w:tr>
    </w:tbl>
    <w:p w14:paraId="63A2C327" w14:textId="77777777" w:rsidR="00DC6CBD" w:rsidRPr="006354B6" w:rsidRDefault="00DC6CBD" w:rsidP="00EE0D0B">
      <w:pPr>
        <w:jc w:val="center"/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4C4F82" w:rsidRPr="005638EB" w14:paraId="1C363EAC" w14:textId="77777777" w:rsidTr="0036178C">
        <w:tc>
          <w:tcPr>
            <w:tcW w:w="9212" w:type="dxa"/>
          </w:tcPr>
          <w:p w14:paraId="76259E49" w14:textId="0E1E9B3E" w:rsidR="004C4F82" w:rsidRPr="005638EB" w:rsidRDefault="002333FF" w:rsidP="0036178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Anmerkungen zu den Proz</w:t>
            </w:r>
            <w:r w:rsidR="004C4F82" w:rsidRPr="004C4F82">
              <w:rPr>
                <w:rFonts w:ascii="Arial Narrow" w:hAnsi="Arial Narrow"/>
                <w:b/>
                <w:sz w:val="22"/>
              </w:rPr>
              <w:t>eduren</w:t>
            </w:r>
          </w:p>
        </w:tc>
      </w:tr>
      <w:tr w:rsidR="004C4F82" w:rsidRPr="007F255B" w14:paraId="131FE40C" w14:textId="77777777" w:rsidTr="0036178C">
        <w:tc>
          <w:tcPr>
            <w:tcW w:w="9212" w:type="dxa"/>
          </w:tcPr>
          <w:p w14:paraId="48201DB1" w14:textId="7EA28AC4" w:rsidR="004C4F82" w:rsidRPr="00435583" w:rsidRDefault="004C4F82" w:rsidP="0043558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97C648B" w14:textId="77777777" w:rsidR="004C4F82" w:rsidRPr="005638EB" w:rsidRDefault="004C4F82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1C579B85" w14:textId="77777777">
        <w:tc>
          <w:tcPr>
            <w:tcW w:w="9212" w:type="dxa"/>
          </w:tcPr>
          <w:p w14:paraId="442A0D93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Bei welchen Patienten wird die Methode angewandt (Indikation)?</w:t>
            </w:r>
          </w:p>
        </w:tc>
      </w:tr>
      <w:tr w:rsidR="008E6675" w:rsidRPr="007F255B" w14:paraId="158F0243" w14:textId="77777777">
        <w:tc>
          <w:tcPr>
            <w:tcW w:w="9212" w:type="dxa"/>
          </w:tcPr>
          <w:p w14:paraId="35DAF5CD" w14:textId="77777777" w:rsidR="00B3199E" w:rsidRDefault="000B5D08" w:rsidP="00C11458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proofErr w:type="spellStart"/>
            <w:r w:rsidRPr="000B5D08">
              <w:rPr>
                <w:rFonts w:ascii="Arial Narrow" w:hAnsi="Arial Narrow"/>
                <w:color w:val="000000" w:themeColor="text1"/>
                <w:sz w:val="22"/>
                <w:szCs w:val="22"/>
              </w:rPr>
              <w:t>Hemgenix</w:t>
            </w:r>
            <w:proofErr w:type="spellEnd"/>
            <w:r w:rsidRPr="000B5D0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® ist indiziert zur Behandlung von schwerer und mittelschwerer Hämophilie B (angeborener Faktor-IX-Mangel) bei Erwachsenen ohne Faktor-IX-Inhibitoren in ihrer Vorgeschichte. </w:t>
            </w:r>
          </w:p>
          <w:p w14:paraId="606B75B1" w14:textId="52725847" w:rsidR="008E6675" w:rsidRPr="00A10605" w:rsidRDefault="000B5D08" w:rsidP="00C11458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B5D08">
              <w:rPr>
                <w:rFonts w:ascii="Arial Narrow" w:hAnsi="Arial Narrow"/>
                <w:color w:val="000000" w:themeColor="text1"/>
                <w:sz w:val="22"/>
                <w:szCs w:val="22"/>
              </w:rPr>
              <w:t>Es ist zugelassen als Arzneimittel für ein seltenes Leiden (</w:t>
            </w:r>
            <w:proofErr w:type="spellStart"/>
            <w:r w:rsidRPr="000B5D08">
              <w:rPr>
                <w:rFonts w:ascii="Arial Narrow" w:hAnsi="Arial Narrow"/>
                <w:color w:val="000000" w:themeColor="text1"/>
                <w:sz w:val="22"/>
                <w:szCs w:val="22"/>
              </w:rPr>
              <w:t>Orphan</w:t>
            </w:r>
            <w:proofErr w:type="spellEnd"/>
            <w:r w:rsidRPr="000B5D0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Drug).</w:t>
            </w:r>
          </w:p>
        </w:tc>
      </w:tr>
    </w:tbl>
    <w:p w14:paraId="2A567A9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544A3AED" w14:textId="77777777">
        <w:trPr>
          <w:trHeight w:val="234"/>
        </w:trPr>
        <w:tc>
          <w:tcPr>
            <w:tcW w:w="9212" w:type="dxa"/>
          </w:tcPr>
          <w:p w14:paraId="52A9B9D0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Welche bestehende Methode wird durch die neue Methode abgelöst oder ergänzt?</w:t>
            </w:r>
          </w:p>
        </w:tc>
      </w:tr>
      <w:tr w:rsidR="008E6675" w:rsidRPr="007F255B" w14:paraId="6B0057FA" w14:textId="77777777">
        <w:tc>
          <w:tcPr>
            <w:tcW w:w="9212" w:type="dxa"/>
          </w:tcPr>
          <w:p w14:paraId="651D3D99" w14:textId="7B13CB2D" w:rsidR="00C77A96" w:rsidRDefault="007D00EB" w:rsidP="008C1686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Etranacogen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EC002F">
              <w:rPr>
                <w:rFonts w:ascii="Arial Narrow" w:hAnsi="Arial Narrow"/>
                <w:sz w:val="22"/>
                <w:szCs w:val="22"/>
              </w:rPr>
              <w:t>d</w:t>
            </w:r>
            <w:r>
              <w:rPr>
                <w:rFonts w:ascii="Arial Narrow" w:hAnsi="Arial Narrow"/>
                <w:sz w:val="22"/>
                <w:szCs w:val="22"/>
              </w:rPr>
              <w:t>ezaparvovec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Hemgenix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®) </w:t>
            </w:r>
            <w:r w:rsidR="00C77A96" w:rsidRPr="00C77A96">
              <w:rPr>
                <w:rFonts w:ascii="Arial Narrow" w:hAnsi="Arial Narrow"/>
                <w:sz w:val="22"/>
                <w:szCs w:val="22"/>
              </w:rPr>
              <w:t xml:space="preserve">kann die bisherige lebenslange </w:t>
            </w:r>
            <w:r w:rsidR="00EC002F">
              <w:rPr>
                <w:rFonts w:ascii="Arial Narrow" w:hAnsi="Arial Narrow"/>
                <w:sz w:val="22"/>
                <w:szCs w:val="22"/>
              </w:rPr>
              <w:t xml:space="preserve">prophylaktische </w:t>
            </w:r>
            <w:r w:rsidR="00C77A96" w:rsidRPr="00C77A96">
              <w:rPr>
                <w:rFonts w:ascii="Arial Narrow" w:hAnsi="Arial Narrow"/>
                <w:sz w:val="22"/>
                <w:szCs w:val="22"/>
              </w:rPr>
              <w:t>Substitutionstherapie mit Gerinnungsfaktor</w:t>
            </w:r>
            <w:r w:rsidR="00EC002F">
              <w:rPr>
                <w:rFonts w:ascii="Arial Narrow" w:hAnsi="Arial Narrow"/>
                <w:sz w:val="22"/>
                <w:szCs w:val="22"/>
              </w:rPr>
              <w:t>-IX</w:t>
            </w:r>
            <w:r w:rsidR="00C77A96" w:rsidRPr="00C77A96">
              <w:rPr>
                <w:rFonts w:ascii="Arial Narrow" w:hAnsi="Arial Narrow"/>
                <w:sz w:val="22"/>
                <w:szCs w:val="22"/>
              </w:rPr>
              <w:t xml:space="preserve"> bei erwachsenen Patienten mit schwerer und mittelschwerer Hämophilie B ohne Faktor-IX-Inhibitoren in ihrer Vorgeschichte </w:t>
            </w:r>
            <w:r w:rsidR="00EC002F">
              <w:rPr>
                <w:rFonts w:ascii="Arial Narrow" w:hAnsi="Arial Narrow"/>
                <w:sz w:val="22"/>
                <w:szCs w:val="22"/>
              </w:rPr>
              <w:t xml:space="preserve">langfristig </w:t>
            </w:r>
            <w:r w:rsidR="00C77A96" w:rsidRPr="00C77A96">
              <w:rPr>
                <w:rFonts w:ascii="Arial Narrow" w:hAnsi="Arial Narrow"/>
                <w:sz w:val="22"/>
                <w:szCs w:val="22"/>
              </w:rPr>
              <w:t>ersetzen</w:t>
            </w:r>
            <w:r w:rsidR="00C77A96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6DE1F56D" w14:textId="77777777" w:rsidR="001E2EB6" w:rsidRDefault="001E2EB6" w:rsidP="008C168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C1110F4" w14:textId="77777777" w:rsidR="008F05BB" w:rsidRDefault="007D00EB" w:rsidP="008C1686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Etranacogen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EC002F">
              <w:rPr>
                <w:rFonts w:ascii="Arial Narrow" w:hAnsi="Arial Narrow"/>
                <w:sz w:val="22"/>
                <w:szCs w:val="22"/>
              </w:rPr>
              <w:t>d</w:t>
            </w:r>
            <w:r>
              <w:rPr>
                <w:rFonts w:ascii="Arial Narrow" w:hAnsi="Arial Narrow"/>
                <w:sz w:val="22"/>
                <w:szCs w:val="22"/>
              </w:rPr>
              <w:t>ezaparvovec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Hemgenix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®) </w:t>
            </w:r>
            <w:r w:rsidR="00A20594">
              <w:rPr>
                <w:rFonts w:ascii="Arial Narrow" w:hAnsi="Arial Narrow"/>
                <w:sz w:val="22"/>
                <w:szCs w:val="22"/>
              </w:rPr>
              <w:t>ersetzt</w:t>
            </w:r>
            <w:r w:rsidR="00C63CD1">
              <w:rPr>
                <w:rFonts w:ascii="Arial Narrow" w:hAnsi="Arial Narrow"/>
                <w:sz w:val="22"/>
                <w:szCs w:val="22"/>
              </w:rPr>
              <w:t xml:space="preserve"> die </w:t>
            </w:r>
            <w:r w:rsidR="001C57FC">
              <w:rPr>
                <w:rFonts w:ascii="Arial Narrow" w:hAnsi="Arial Narrow"/>
                <w:sz w:val="22"/>
                <w:szCs w:val="22"/>
              </w:rPr>
              <w:t xml:space="preserve">folgenden Therapieoptionen </w:t>
            </w:r>
            <w:r w:rsidR="00FC3BC5">
              <w:rPr>
                <w:rFonts w:ascii="Arial Narrow" w:hAnsi="Arial Narrow"/>
                <w:sz w:val="22"/>
                <w:szCs w:val="22"/>
              </w:rPr>
              <w:t xml:space="preserve">zur </w:t>
            </w:r>
            <w:r w:rsidR="00EF2D61">
              <w:rPr>
                <w:rFonts w:ascii="Arial Narrow" w:hAnsi="Arial Narrow"/>
                <w:sz w:val="22"/>
                <w:szCs w:val="22"/>
              </w:rPr>
              <w:t xml:space="preserve">dauerhaften </w:t>
            </w:r>
            <w:r w:rsidR="00FC3BC5">
              <w:rPr>
                <w:rFonts w:ascii="Arial Narrow" w:hAnsi="Arial Narrow"/>
                <w:sz w:val="22"/>
                <w:szCs w:val="22"/>
              </w:rPr>
              <w:t xml:space="preserve">Behandlung des </w:t>
            </w:r>
            <w:r w:rsidR="00EC002F">
              <w:rPr>
                <w:rFonts w:ascii="Arial Narrow" w:hAnsi="Arial Narrow"/>
                <w:sz w:val="22"/>
                <w:szCs w:val="22"/>
              </w:rPr>
              <w:t>h</w:t>
            </w:r>
            <w:r w:rsidR="00190409">
              <w:rPr>
                <w:rFonts w:ascii="Arial Narrow" w:hAnsi="Arial Narrow"/>
                <w:sz w:val="22"/>
                <w:szCs w:val="22"/>
              </w:rPr>
              <w:t>ereditären Faktor-IX-Mangel</w:t>
            </w:r>
            <w:r w:rsidR="002A03DC">
              <w:rPr>
                <w:rFonts w:ascii="Arial Narrow" w:hAnsi="Arial Narrow"/>
                <w:sz w:val="22"/>
                <w:szCs w:val="22"/>
              </w:rPr>
              <w:t>s</w:t>
            </w:r>
            <w:r w:rsidR="00EC002F">
              <w:rPr>
                <w:rFonts w:ascii="Arial Narrow" w:hAnsi="Arial Narrow"/>
                <w:sz w:val="22"/>
                <w:szCs w:val="22"/>
              </w:rPr>
              <w:t xml:space="preserve"> (Hämophilie B)</w:t>
            </w:r>
            <w:r w:rsidR="00190409">
              <w:rPr>
                <w:rFonts w:ascii="Arial Narrow" w:hAnsi="Arial Narrow"/>
                <w:sz w:val="22"/>
                <w:szCs w:val="22"/>
              </w:rPr>
              <w:t>:</w:t>
            </w:r>
            <w:r w:rsidR="0045329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ED19ABB" w14:textId="15C86F66" w:rsidR="00453296" w:rsidRDefault="008F05BB" w:rsidP="008C1686">
            <w:pPr>
              <w:rPr>
                <w:rFonts w:ascii="Arial Narrow" w:hAnsi="Arial Narrow"/>
                <w:sz w:val="22"/>
                <w:szCs w:val="22"/>
              </w:rPr>
            </w:pPr>
            <w:r w:rsidRPr="008F05BB">
              <w:rPr>
                <w:rFonts w:ascii="Arial Narrow" w:hAnsi="Arial Narrow"/>
                <w:sz w:val="22"/>
                <w:szCs w:val="22"/>
              </w:rPr>
              <w:t>plasmatische F-IX Produkte (</w:t>
            </w:r>
            <w:proofErr w:type="spellStart"/>
            <w:r w:rsidRPr="008F05BB">
              <w:rPr>
                <w:rFonts w:ascii="Arial Narrow" w:hAnsi="Arial Narrow"/>
                <w:sz w:val="22"/>
                <w:szCs w:val="22"/>
              </w:rPr>
              <w:t>Haemonine</w:t>
            </w:r>
            <w:proofErr w:type="spellEnd"/>
            <w:r w:rsidRPr="008F05BB">
              <w:rPr>
                <w:rFonts w:ascii="Arial Narrow" w:hAnsi="Arial Narrow"/>
                <w:sz w:val="22"/>
                <w:szCs w:val="22"/>
              </w:rPr>
              <w:t xml:space="preserve"> ®, </w:t>
            </w:r>
            <w:proofErr w:type="spellStart"/>
            <w:r w:rsidRPr="008F05BB">
              <w:rPr>
                <w:rFonts w:ascii="Arial Narrow" w:hAnsi="Arial Narrow"/>
                <w:sz w:val="22"/>
                <w:szCs w:val="22"/>
              </w:rPr>
              <w:t>Alphanine</w:t>
            </w:r>
            <w:proofErr w:type="spellEnd"/>
            <w:r w:rsidRPr="008F05BB">
              <w:rPr>
                <w:rFonts w:ascii="Arial Narrow" w:hAnsi="Arial Narrow"/>
                <w:sz w:val="22"/>
                <w:szCs w:val="22"/>
              </w:rPr>
              <w:t xml:space="preserve"> ®, </w:t>
            </w:r>
            <w:proofErr w:type="spellStart"/>
            <w:r w:rsidRPr="008F05BB">
              <w:rPr>
                <w:rFonts w:ascii="Arial Narrow" w:hAnsi="Arial Narrow"/>
                <w:sz w:val="22"/>
                <w:szCs w:val="22"/>
              </w:rPr>
              <w:t>Immunine</w:t>
            </w:r>
            <w:proofErr w:type="spellEnd"/>
            <w:r w:rsidRPr="008F05BB">
              <w:rPr>
                <w:rFonts w:ascii="Arial Narrow" w:hAnsi="Arial Narrow"/>
                <w:sz w:val="22"/>
                <w:szCs w:val="22"/>
              </w:rPr>
              <w:t xml:space="preserve"> ®, </w:t>
            </w:r>
            <w:proofErr w:type="spellStart"/>
            <w:r w:rsidRPr="008F05BB">
              <w:rPr>
                <w:rFonts w:ascii="Arial Narrow" w:hAnsi="Arial Narrow"/>
                <w:sz w:val="22"/>
                <w:szCs w:val="22"/>
              </w:rPr>
              <w:t>Octanine</w:t>
            </w:r>
            <w:proofErr w:type="spellEnd"/>
            <w:r w:rsidRPr="008F05BB">
              <w:rPr>
                <w:rFonts w:ascii="Arial Narrow" w:hAnsi="Arial Narrow"/>
                <w:sz w:val="22"/>
                <w:szCs w:val="22"/>
              </w:rPr>
              <w:t xml:space="preserve"> ®), </w:t>
            </w:r>
            <w:proofErr w:type="spellStart"/>
            <w:r w:rsidR="00D824FB" w:rsidRPr="00141D05">
              <w:rPr>
                <w:rFonts w:ascii="Arial Narrow" w:hAnsi="Arial Narrow"/>
                <w:sz w:val="22"/>
                <w:szCs w:val="22"/>
                <w:lang w:val="en-US"/>
              </w:rPr>
              <w:t>Eftrenonacog</w:t>
            </w:r>
            <w:proofErr w:type="spellEnd"/>
            <w:r w:rsidR="00D824FB" w:rsidRPr="00141D05">
              <w:rPr>
                <w:rFonts w:ascii="Arial Narrow" w:hAnsi="Arial Narrow"/>
                <w:sz w:val="22"/>
                <w:szCs w:val="22"/>
                <w:lang w:val="en-US"/>
              </w:rPr>
              <w:t xml:space="preserve"> alfa</w:t>
            </w:r>
            <w:r w:rsidR="00D824FB">
              <w:rPr>
                <w:rFonts w:ascii="Arial Narrow" w:hAnsi="Arial Narrow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D824FB" w:rsidRPr="00141D05">
              <w:rPr>
                <w:rFonts w:ascii="Arial Narrow" w:hAnsi="Arial Narrow"/>
                <w:sz w:val="22"/>
                <w:szCs w:val="22"/>
                <w:lang w:val="en-US"/>
              </w:rPr>
              <w:t>Alprolix</w:t>
            </w:r>
            <w:proofErr w:type="spellEnd"/>
            <w:r w:rsidR="00D824FB" w:rsidRPr="00141D05">
              <w:rPr>
                <w:rFonts w:ascii="Arial Narrow" w:hAnsi="Arial Narrow"/>
                <w:color w:val="000000" w:themeColor="text1"/>
                <w:sz w:val="22"/>
                <w:szCs w:val="22"/>
                <w:lang w:val="en-US"/>
              </w:rPr>
              <w:t>®</w:t>
            </w:r>
            <w:r w:rsidR="00D824FB">
              <w:rPr>
                <w:rFonts w:ascii="Arial Narrow" w:hAnsi="Arial Narrow"/>
                <w:color w:val="000000" w:themeColor="text1"/>
                <w:sz w:val="22"/>
                <w:szCs w:val="22"/>
                <w:lang w:val="en-US"/>
              </w:rPr>
              <w:t>)</w:t>
            </w:r>
            <w:r w:rsidR="00D824FB">
              <w:rPr>
                <w:rFonts w:ascii="Arial Narrow" w:hAnsi="Arial Narrow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D824FB" w:rsidRPr="00190409">
              <w:rPr>
                <w:rFonts w:ascii="Arial Narrow" w:hAnsi="Arial Narrow"/>
                <w:sz w:val="22"/>
                <w:szCs w:val="22"/>
                <w:lang w:val="en-US"/>
              </w:rPr>
              <w:t>Nonacog</w:t>
            </w:r>
            <w:proofErr w:type="spellEnd"/>
            <w:r w:rsidR="00D824FB" w:rsidRPr="00190409">
              <w:rPr>
                <w:rFonts w:ascii="Arial Narrow" w:hAnsi="Arial Narrow"/>
                <w:sz w:val="22"/>
                <w:szCs w:val="22"/>
                <w:lang w:val="en-US"/>
              </w:rPr>
              <w:t xml:space="preserve"> beta pegol</w:t>
            </w:r>
            <w:r w:rsidR="00D824FB">
              <w:rPr>
                <w:rFonts w:ascii="Arial Narrow" w:hAnsi="Arial Narrow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D824FB" w:rsidRPr="00190409">
              <w:rPr>
                <w:rFonts w:ascii="Arial Narrow" w:hAnsi="Arial Narrow"/>
                <w:sz w:val="22"/>
                <w:szCs w:val="22"/>
                <w:lang w:val="en-US"/>
              </w:rPr>
              <w:t>Refixia</w:t>
            </w:r>
            <w:proofErr w:type="spellEnd"/>
            <w:r w:rsidR="00D824FB" w:rsidRPr="00141D05">
              <w:rPr>
                <w:rFonts w:ascii="Arial Narrow" w:hAnsi="Arial Narrow"/>
                <w:color w:val="000000" w:themeColor="text1"/>
                <w:sz w:val="22"/>
                <w:szCs w:val="22"/>
                <w:lang w:val="en-US"/>
              </w:rPr>
              <w:t>®</w:t>
            </w:r>
            <w:r w:rsidR="00D824FB">
              <w:rPr>
                <w:rFonts w:ascii="Arial Narrow" w:hAnsi="Arial Narrow"/>
                <w:color w:val="000000" w:themeColor="text1"/>
                <w:sz w:val="22"/>
                <w:szCs w:val="22"/>
                <w:lang w:val="en-US"/>
              </w:rPr>
              <w:t>)</w:t>
            </w:r>
            <w:r w:rsidR="00D824FB">
              <w:rPr>
                <w:rFonts w:ascii="Arial Narrow" w:hAnsi="Arial Narrow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D824FB" w:rsidRPr="00190409">
              <w:rPr>
                <w:rFonts w:ascii="Arial Narrow" w:hAnsi="Arial Narrow"/>
                <w:sz w:val="22"/>
                <w:szCs w:val="22"/>
                <w:lang w:val="en-US"/>
              </w:rPr>
              <w:t>Albutrepenonacog</w:t>
            </w:r>
            <w:proofErr w:type="spellEnd"/>
            <w:r w:rsidR="00D824FB" w:rsidRPr="00190409">
              <w:rPr>
                <w:rFonts w:ascii="Arial Narrow" w:hAnsi="Arial Narrow"/>
                <w:sz w:val="22"/>
                <w:szCs w:val="22"/>
                <w:lang w:val="en-US"/>
              </w:rPr>
              <w:t xml:space="preserve"> alfa</w:t>
            </w:r>
            <w:r w:rsidR="00D824FB">
              <w:rPr>
                <w:rFonts w:ascii="Arial Narrow" w:hAnsi="Arial Narrow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D824FB" w:rsidRPr="00190409">
              <w:rPr>
                <w:rFonts w:ascii="Arial Narrow" w:hAnsi="Arial Narrow"/>
                <w:sz w:val="22"/>
                <w:szCs w:val="22"/>
                <w:lang w:val="en-US"/>
              </w:rPr>
              <w:t>Idelvion</w:t>
            </w:r>
            <w:proofErr w:type="spellEnd"/>
            <w:r w:rsidR="00D824FB" w:rsidRPr="00141D05">
              <w:rPr>
                <w:rFonts w:ascii="Arial Narrow" w:hAnsi="Arial Narrow"/>
                <w:color w:val="000000" w:themeColor="text1"/>
                <w:sz w:val="22"/>
                <w:szCs w:val="22"/>
                <w:lang w:val="en-US"/>
              </w:rPr>
              <w:t>®</w:t>
            </w:r>
            <w:r w:rsidR="00D824FB">
              <w:rPr>
                <w:rFonts w:ascii="Arial Narrow" w:hAnsi="Arial Narrow"/>
                <w:sz w:val="22"/>
                <w:szCs w:val="22"/>
                <w:lang w:val="en-US"/>
              </w:rPr>
              <w:t xml:space="preserve">), </w:t>
            </w:r>
            <w:proofErr w:type="spellStart"/>
            <w:r w:rsidRPr="008F05BB">
              <w:rPr>
                <w:rFonts w:ascii="Arial Narrow" w:hAnsi="Arial Narrow"/>
                <w:sz w:val="22"/>
                <w:szCs w:val="22"/>
              </w:rPr>
              <w:t>Nonacog</w:t>
            </w:r>
            <w:proofErr w:type="spellEnd"/>
            <w:r w:rsidRPr="008F05B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8F05BB">
              <w:rPr>
                <w:rFonts w:ascii="Arial Narrow" w:hAnsi="Arial Narrow"/>
                <w:sz w:val="22"/>
                <w:szCs w:val="22"/>
              </w:rPr>
              <w:t>alfa</w:t>
            </w:r>
            <w:proofErr w:type="spellEnd"/>
            <w:r w:rsidRPr="008F05BB"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 w:rsidRPr="008F05BB">
              <w:rPr>
                <w:rFonts w:ascii="Arial Narrow" w:hAnsi="Arial Narrow"/>
                <w:sz w:val="22"/>
                <w:szCs w:val="22"/>
              </w:rPr>
              <w:t>Benefix</w:t>
            </w:r>
            <w:proofErr w:type="spellEnd"/>
            <w:r w:rsidRPr="008F05BB">
              <w:rPr>
                <w:rFonts w:ascii="Arial Narrow" w:hAnsi="Arial Narrow"/>
                <w:sz w:val="22"/>
                <w:szCs w:val="22"/>
              </w:rPr>
              <w:t xml:space="preserve"> ®), </w:t>
            </w:r>
            <w:proofErr w:type="spellStart"/>
            <w:r w:rsidRPr="008F05BB">
              <w:rPr>
                <w:rFonts w:ascii="Arial Narrow" w:hAnsi="Arial Narrow"/>
                <w:sz w:val="22"/>
                <w:szCs w:val="22"/>
              </w:rPr>
              <w:t>Nonacog</w:t>
            </w:r>
            <w:proofErr w:type="spellEnd"/>
            <w:r w:rsidRPr="008F05B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8F05BB">
              <w:rPr>
                <w:rFonts w:ascii="Arial Narrow" w:hAnsi="Arial Narrow"/>
                <w:sz w:val="22"/>
                <w:szCs w:val="22"/>
              </w:rPr>
              <w:t>gamma</w:t>
            </w:r>
            <w:proofErr w:type="spellEnd"/>
            <w:r w:rsidRPr="008F05BB"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 w:rsidRPr="008F05BB">
              <w:rPr>
                <w:rFonts w:ascii="Arial Narrow" w:hAnsi="Arial Narrow"/>
                <w:sz w:val="22"/>
                <w:szCs w:val="22"/>
              </w:rPr>
              <w:t>Rixubis</w:t>
            </w:r>
            <w:proofErr w:type="spellEnd"/>
            <w:r w:rsidRPr="008F05BB">
              <w:rPr>
                <w:rFonts w:ascii="Arial Narrow" w:hAnsi="Arial Narrow"/>
                <w:sz w:val="22"/>
                <w:szCs w:val="22"/>
              </w:rPr>
              <w:t xml:space="preserve">®) sowie </w:t>
            </w:r>
            <w:proofErr w:type="spellStart"/>
            <w:r w:rsidRPr="008F05BB">
              <w:rPr>
                <w:rFonts w:ascii="Arial Narrow" w:hAnsi="Arial Narrow"/>
                <w:sz w:val="22"/>
                <w:szCs w:val="22"/>
              </w:rPr>
              <w:t>Marstacimab</w:t>
            </w:r>
            <w:proofErr w:type="spellEnd"/>
            <w:r w:rsidRPr="008F05BB"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 w:rsidRPr="008F05BB">
              <w:rPr>
                <w:rFonts w:ascii="Arial Narrow" w:hAnsi="Arial Narrow"/>
                <w:sz w:val="22"/>
                <w:szCs w:val="22"/>
              </w:rPr>
              <w:t>Hympavzi</w:t>
            </w:r>
            <w:proofErr w:type="spellEnd"/>
            <w:r w:rsidRPr="008F05BB">
              <w:rPr>
                <w:rFonts w:ascii="Arial Narrow" w:hAnsi="Arial Narrow"/>
                <w:sz w:val="22"/>
                <w:szCs w:val="22"/>
              </w:rPr>
              <w:t>®)</w:t>
            </w:r>
          </w:p>
          <w:p w14:paraId="2F54CF55" w14:textId="516B8C24" w:rsidR="001E2EB6" w:rsidRPr="00EC002F" w:rsidRDefault="00141D05" w:rsidP="008C1686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.</w:t>
            </w:r>
          </w:p>
          <w:p w14:paraId="3EC3722F" w14:textId="592044FC" w:rsidR="008E6675" w:rsidRPr="002A03DC" w:rsidRDefault="000C0373" w:rsidP="008C1686">
            <w:pPr>
              <w:rPr>
                <w:rFonts w:ascii="Arial Narrow" w:hAnsi="Arial Narrow"/>
                <w:sz w:val="22"/>
                <w:szCs w:val="22"/>
              </w:rPr>
            </w:pPr>
            <w:r w:rsidRPr="004A6BBB">
              <w:rPr>
                <w:rFonts w:ascii="Arial Narrow" w:hAnsi="Arial Narrow"/>
                <w:sz w:val="22"/>
                <w:szCs w:val="22"/>
              </w:rPr>
              <w:t xml:space="preserve">Die Behandlung von Blutern mit Blutgerinnungsfaktoren wird über das </w:t>
            </w:r>
            <w:r w:rsidR="009F11FA" w:rsidRPr="004A6BBB">
              <w:rPr>
                <w:rFonts w:ascii="Arial Narrow" w:hAnsi="Arial Narrow"/>
                <w:sz w:val="22"/>
                <w:szCs w:val="22"/>
              </w:rPr>
              <w:t xml:space="preserve">krankenhausindividuelle </w:t>
            </w:r>
            <w:r w:rsidRPr="004A6BBB">
              <w:rPr>
                <w:rFonts w:ascii="Arial Narrow" w:hAnsi="Arial Narrow"/>
                <w:sz w:val="22"/>
                <w:szCs w:val="22"/>
              </w:rPr>
              <w:t xml:space="preserve">Zusatzentgelt </w:t>
            </w:r>
            <w:r w:rsidR="009F11FA" w:rsidRPr="004A6BBB">
              <w:rPr>
                <w:rFonts w:ascii="Arial Narrow" w:hAnsi="Arial Narrow"/>
                <w:sz w:val="22"/>
                <w:szCs w:val="22"/>
              </w:rPr>
              <w:t>ZE2025-97 vergütet.</w:t>
            </w:r>
            <w:r w:rsidR="004A6BB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073C0909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3CC85E94" w14:textId="77777777">
        <w:tc>
          <w:tcPr>
            <w:tcW w:w="9212" w:type="dxa"/>
          </w:tcPr>
          <w:p w14:paraId="25335173" w14:textId="77777777" w:rsidR="008E6675" w:rsidRPr="005638EB" w:rsidRDefault="008E6675" w:rsidP="00E92C57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Ist die Methode vollständig oder in Teilen neu und warum handelt es sich um eine neue Untersuchungs- und Behandlungsmethode?</w:t>
            </w:r>
          </w:p>
        </w:tc>
      </w:tr>
      <w:tr w:rsidR="008E6675" w:rsidRPr="005638EB" w14:paraId="402C1327" w14:textId="77777777">
        <w:tc>
          <w:tcPr>
            <w:tcW w:w="9212" w:type="dxa"/>
          </w:tcPr>
          <w:p w14:paraId="6DE11746" w14:textId="3DE6983D" w:rsidR="0036325A" w:rsidRDefault="005D1992" w:rsidP="00596F9A">
            <w:pPr>
              <w:rPr>
                <w:rFonts w:ascii="Arial Narrow" w:hAnsi="Arial Narrow"/>
                <w:color w:val="00B05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Es handelt sich um ein neues </w:t>
            </w:r>
            <w:r w:rsidRPr="000E1AD6">
              <w:rPr>
                <w:rFonts w:ascii="Arial Narrow" w:hAnsi="Arial Narrow"/>
                <w:sz w:val="22"/>
                <w:szCs w:val="22"/>
              </w:rPr>
              <w:t>Wirkprinzip</w:t>
            </w:r>
            <w:r>
              <w:rPr>
                <w:rFonts w:ascii="Arial Narrow" w:hAnsi="Arial Narrow"/>
                <w:sz w:val="22"/>
                <w:szCs w:val="22"/>
              </w:rPr>
              <w:t xml:space="preserve">, das mit </w:t>
            </w:r>
            <w:proofErr w:type="spellStart"/>
            <w:r w:rsidR="007D00EB">
              <w:rPr>
                <w:rFonts w:ascii="Arial Narrow" w:hAnsi="Arial Narrow"/>
                <w:sz w:val="22"/>
                <w:szCs w:val="22"/>
              </w:rPr>
              <w:t>Etranacogen</w:t>
            </w:r>
            <w:proofErr w:type="spellEnd"/>
            <w:r w:rsidR="007D00E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814B90">
              <w:rPr>
                <w:rFonts w:ascii="Arial Narrow" w:hAnsi="Arial Narrow"/>
                <w:sz w:val="22"/>
                <w:szCs w:val="22"/>
              </w:rPr>
              <w:t>d</w:t>
            </w:r>
            <w:r w:rsidR="007D00EB">
              <w:rPr>
                <w:rFonts w:ascii="Arial Narrow" w:hAnsi="Arial Narrow"/>
                <w:sz w:val="22"/>
                <w:szCs w:val="22"/>
              </w:rPr>
              <w:t>ezaparvovec</w:t>
            </w:r>
            <w:proofErr w:type="spellEnd"/>
            <w:r w:rsidR="007D00EB"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 w:rsidR="007D00EB">
              <w:rPr>
                <w:rFonts w:ascii="Arial Narrow" w:hAnsi="Arial Narrow"/>
                <w:sz w:val="22"/>
                <w:szCs w:val="22"/>
              </w:rPr>
              <w:t>Hemgenix</w:t>
            </w:r>
            <w:proofErr w:type="spellEnd"/>
            <w:r w:rsidR="007D00EB">
              <w:rPr>
                <w:rFonts w:ascii="Arial Narrow" w:hAnsi="Arial Narrow"/>
                <w:sz w:val="22"/>
                <w:szCs w:val="22"/>
              </w:rPr>
              <w:t xml:space="preserve">®) </w:t>
            </w:r>
            <w:r w:rsidRPr="00A17C9E">
              <w:rPr>
                <w:rFonts w:ascii="Arial Narrow" w:hAnsi="Arial Narrow"/>
                <w:sz w:val="22"/>
                <w:szCs w:val="22"/>
              </w:rPr>
              <w:t>erstmals 2023</w:t>
            </w:r>
            <w:r>
              <w:rPr>
                <w:rFonts w:ascii="Arial Narrow" w:hAnsi="Arial Narrow"/>
                <w:sz w:val="22"/>
                <w:szCs w:val="22"/>
              </w:rPr>
              <w:t xml:space="preserve"> in die Behandlung eingeführt wurde.</w:t>
            </w:r>
          </w:p>
          <w:p w14:paraId="61C07E75" w14:textId="77777777" w:rsidR="00F65AEB" w:rsidRPr="0036325A" w:rsidRDefault="00F65AEB" w:rsidP="00596F9A">
            <w:pPr>
              <w:rPr>
                <w:rFonts w:ascii="Arial Narrow" w:hAnsi="Arial Narrow"/>
                <w:color w:val="00B050"/>
                <w:sz w:val="22"/>
                <w:szCs w:val="22"/>
              </w:rPr>
            </w:pPr>
          </w:p>
          <w:p w14:paraId="6B1FDB47" w14:textId="2A67CA2D" w:rsidR="008E6675" w:rsidRPr="007D00EB" w:rsidRDefault="00E75833" w:rsidP="00C1145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Gemäß</w:t>
            </w:r>
            <w:r w:rsidR="008E6675" w:rsidRPr="0036325A">
              <w:rPr>
                <w:rFonts w:ascii="Arial Narrow" w:hAnsi="Arial Narrow"/>
                <w:sz w:val="22"/>
                <w:szCs w:val="22"/>
              </w:rPr>
              <w:t xml:space="preserve"> den Informatione</w:t>
            </w:r>
            <w:r w:rsidR="00C11458">
              <w:rPr>
                <w:rFonts w:ascii="Arial Narrow" w:hAnsi="Arial Narrow"/>
                <w:sz w:val="22"/>
                <w:szCs w:val="22"/>
              </w:rPr>
              <w:t xml:space="preserve">n nach §6 Abs. 2 </w:t>
            </w:r>
            <w:proofErr w:type="spellStart"/>
            <w:r w:rsidR="00C11458">
              <w:rPr>
                <w:rFonts w:ascii="Arial Narrow" w:hAnsi="Arial Narrow"/>
                <w:sz w:val="22"/>
                <w:szCs w:val="22"/>
              </w:rPr>
              <w:t>KHEntgG</w:t>
            </w:r>
            <w:proofErr w:type="spellEnd"/>
            <w:r w:rsidR="00C11458">
              <w:rPr>
                <w:rFonts w:ascii="Arial Narrow" w:hAnsi="Arial Narrow"/>
                <w:sz w:val="22"/>
                <w:szCs w:val="22"/>
              </w:rPr>
              <w:t xml:space="preserve"> für 202</w:t>
            </w:r>
            <w:r w:rsidR="00F65AEB">
              <w:rPr>
                <w:rFonts w:ascii="Arial Narrow" w:hAnsi="Arial Narrow"/>
                <w:sz w:val="22"/>
                <w:szCs w:val="22"/>
              </w:rPr>
              <w:t>5</w:t>
            </w:r>
            <w:r w:rsidR="008E6675" w:rsidRPr="0036325A">
              <w:rPr>
                <w:rFonts w:ascii="Arial Narrow" w:hAnsi="Arial Narrow"/>
                <w:sz w:val="22"/>
                <w:szCs w:val="22"/>
              </w:rPr>
              <w:t xml:space="preserve"> hat </w:t>
            </w:r>
            <w:proofErr w:type="spellStart"/>
            <w:r w:rsidR="007D00EB">
              <w:rPr>
                <w:rFonts w:ascii="Arial Narrow" w:hAnsi="Arial Narrow"/>
                <w:sz w:val="22"/>
                <w:szCs w:val="22"/>
              </w:rPr>
              <w:t>Etranacogen</w:t>
            </w:r>
            <w:proofErr w:type="spellEnd"/>
            <w:r w:rsidR="007D00EB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814B90">
              <w:rPr>
                <w:rFonts w:ascii="Arial Narrow" w:hAnsi="Arial Narrow"/>
                <w:sz w:val="22"/>
                <w:szCs w:val="22"/>
              </w:rPr>
              <w:t>d</w:t>
            </w:r>
            <w:r w:rsidR="007D00EB">
              <w:rPr>
                <w:rFonts w:ascii="Arial Narrow" w:hAnsi="Arial Narrow"/>
                <w:sz w:val="22"/>
                <w:szCs w:val="22"/>
              </w:rPr>
              <w:t>ezaparvovec</w:t>
            </w:r>
            <w:proofErr w:type="spellEnd"/>
            <w:r w:rsidR="007D00E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E6675" w:rsidRPr="0036325A">
              <w:rPr>
                <w:rFonts w:ascii="Arial Narrow" w:hAnsi="Arial Narrow"/>
                <w:sz w:val="22"/>
                <w:szCs w:val="22"/>
              </w:rPr>
              <w:t xml:space="preserve">den Status </w:t>
            </w:r>
            <w:r w:rsidR="00F65AEB">
              <w:rPr>
                <w:rFonts w:ascii="Arial Narrow" w:hAnsi="Arial Narrow"/>
                <w:sz w:val="22"/>
                <w:szCs w:val="22"/>
              </w:rPr>
              <w:t>1 erh</w:t>
            </w:r>
            <w:r w:rsidR="007D00EB">
              <w:rPr>
                <w:rFonts w:ascii="Arial Narrow" w:hAnsi="Arial Narrow"/>
                <w:sz w:val="22"/>
                <w:szCs w:val="22"/>
              </w:rPr>
              <w:t>a</w:t>
            </w:r>
            <w:r w:rsidR="00F65AEB">
              <w:rPr>
                <w:rFonts w:ascii="Arial Narrow" w:hAnsi="Arial Narrow"/>
                <w:sz w:val="22"/>
                <w:szCs w:val="22"/>
              </w:rPr>
              <w:t>lten (lfd. Nr. 274)</w:t>
            </w:r>
            <w:r w:rsidR="0004459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</w:tbl>
    <w:p w14:paraId="75E7896B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DEA2055" w14:textId="77777777">
        <w:tc>
          <w:tcPr>
            <w:tcW w:w="9212" w:type="dxa"/>
          </w:tcPr>
          <w:p w14:paraId="4E8FCE4C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Welche Auswirkungen hat die Methode auf die Verweildauer im Krankenhaus?</w:t>
            </w:r>
          </w:p>
        </w:tc>
      </w:tr>
      <w:tr w:rsidR="008E6675" w:rsidRPr="005638EB" w14:paraId="5C15DE82" w14:textId="77777777">
        <w:trPr>
          <w:trHeight w:val="264"/>
        </w:trPr>
        <w:tc>
          <w:tcPr>
            <w:tcW w:w="9212" w:type="dxa"/>
          </w:tcPr>
          <w:p w14:paraId="19E75E35" w14:textId="4D88578A" w:rsidR="00A530BE" w:rsidRPr="005638EB" w:rsidRDefault="008E6675" w:rsidP="005638EB">
            <w:pPr>
              <w:rPr>
                <w:rFonts w:ascii="Arial Narrow" w:hAnsi="Arial Narrow"/>
              </w:rPr>
            </w:pPr>
            <w:r w:rsidRPr="005638EB">
              <w:rPr>
                <w:rFonts w:ascii="Arial Narrow" w:hAnsi="Arial Narrow"/>
                <w:sz w:val="22"/>
              </w:rPr>
              <w:t xml:space="preserve">Zur </w:t>
            </w:r>
            <w:r w:rsidRPr="000E1AD6">
              <w:rPr>
                <w:rFonts w:ascii="Arial Narrow" w:hAnsi="Arial Narrow"/>
                <w:sz w:val="22"/>
              </w:rPr>
              <w:t>Veränderung der Verweildauer im</w:t>
            </w:r>
            <w:r w:rsidRPr="005638EB">
              <w:rPr>
                <w:rFonts w:ascii="Arial Narrow" w:hAnsi="Arial Narrow"/>
                <w:sz w:val="22"/>
              </w:rPr>
              <w:t xml:space="preserve"> Krankenhaus können derzeit aufgrund fehlender Erfahrungen keine Aussagen gemacht werden.</w:t>
            </w:r>
          </w:p>
        </w:tc>
      </w:tr>
    </w:tbl>
    <w:p w14:paraId="4E061776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6BCFFEC8" w14:textId="77777777">
        <w:tc>
          <w:tcPr>
            <w:tcW w:w="9212" w:type="dxa"/>
          </w:tcPr>
          <w:p w14:paraId="5ABEFBD5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Wann wurde diese Methode in Deutschland eingeführt?</w:t>
            </w:r>
          </w:p>
        </w:tc>
      </w:tr>
      <w:tr w:rsidR="008E6675" w:rsidRPr="007F255B" w14:paraId="0DF8F781" w14:textId="77777777">
        <w:tc>
          <w:tcPr>
            <w:tcW w:w="9212" w:type="dxa"/>
          </w:tcPr>
          <w:p w14:paraId="256E27C8" w14:textId="7454598E" w:rsidR="00D14350" w:rsidRPr="00422874" w:rsidRDefault="00F256C4" w:rsidP="00C112A6">
            <w:pPr>
              <w:rPr>
                <w:rFonts w:ascii="Arial Narrow" w:hAnsi="Arial Narrow"/>
                <w:sz w:val="22"/>
              </w:rPr>
            </w:pPr>
            <w:r w:rsidRPr="000E1AD6">
              <w:rPr>
                <w:rFonts w:ascii="Arial Narrow" w:hAnsi="Arial Narrow"/>
                <w:color w:val="000000" w:themeColor="text1"/>
                <w:sz w:val="22"/>
              </w:rPr>
              <w:t xml:space="preserve">01. </w:t>
            </w:r>
            <w:r w:rsidR="00BA5116" w:rsidRPr="000E1AD6">
              <w:rPr>
                <w:rFonts w:ascii="Arial Narrow" w:hAnsi="Arial Narrow"/>
                <w:color w:val="000000" w:themeColor="text1"/>
                <w:sz w:val="22"/>
              </w:rPr>
              <w:t xml:space="preserve">Mai </w:t>
            </w:r>
            <w:r w:rsidR="003B44A9" w:rsidRPr="000E1AD6">
              <w:rPr>
                <w:rFonts w:ascii="Arial Narrow" w:hAnsi="Arial Narrow"/>
                <w:color w:val="000000" w:themeColor="text1"/>
                <w:sz w:val="22"/>
              </w:rPr>
              <w:t>2023</w:t>
            </w:r>
          </w:p>
        </w:tc>
      </w:tr>
    </w:tbl>
    <w:p w14:paraId="233BCD28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7DE956DB" w14:textId="77777777">
        <w:tc>
          <w:tcPr>
            <w:tcW w:w="9212" w:type="dxa"/>
          </w:tcPr>
          <w:p w14:paraId="483A4156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Bei Medikamenten: Wann wurde dieses Medikament zugelassen?</w:t>
            </w:r>
          </w:p>
        </w:tc>
      </w:tr>
      <w:tr w:rsidR="008E6675" w:rsidRPr="007F255B" w14:paraId="1264FF24" w14:textId="77777777">
        <w:tc>
          <w:tcPr>
            <w:tcW w:w="9212" w:type="dxa"/>
          </w:tcPr>
          <w:p w14:paraId="7BB60EDC" w14:textId="4BDCAED2" w:rsidR="00044597" w:rsidRPr="00C112A6" w:rsidRDefault="003B44A9" w:rsidP="00C112A6">
            <w:pPr>
              <w:rPr>
                <w:rFonts w:ascii="Arial Narrow" w:hAnsi="Arial Narrow"/>
                <w:color w:val="00B050"/>
                <w:sz w:val="22"/>
              </w:rPr>
            </w:pPr>
            <w:r w:rsidRPr="003B44A9">
              <w:rPr>
                <w:rFonts w:ascii="Arial Narrow" w:hAnsi="Arial Narrow"/>
                <w:color w:val="000000" w:themeColor="text1"/>
                <w:sz w:val="22"/>
              </w:rPr>
              <w:t xml:space="preserve">20. </w:t>
            </w:r>
            <w:r w:rsidR="00DD7B15" w:rsidRPr="003B44A9">
              <w:rPr>
                <w:rFonts w:ascii="Arial Narrow" w:hAnsi="Arial Narrow"/>
                <w:color w:val="000000" w:themeColor="text1"/>
                <w:sz w:val="22"/>
              </w:rPr>
              <w:t>Februar</w:t>
            </w:r>
            <w:r w:rsidR="0087187C" w:rsidRPr="003B44A9">
              <w:rPr>
                <w:rFonts w:ascii="Arial Narrow" w:hAnsi="Arial Narrow"/>
                <w:color w:val="000000" w:themeColor="text1"/>
                <w:sz w:val="22"/>
              </w:rPr>
              <w:t xml:space="preserve"> 202</w:t>
            </w:r>
            <w:r w:rsidR="00DD7B15" w:rsidRPr="003B44A9">
              <w:rPr>
                <w:rFonts w:ascii="Arial Narrow" w:hAnsi="Arial Narrow"/>
                <w:color w:val="000000" w:themeColor="text1"/>
                <w:sz w:val="22"/>
              </w:rPr>
              <w:t>3</w:t>
            </w:r>
          </w:p>
        </w:tc>
      </w:tr>
    </w:tbl>
    <w:p w14:paraId="479CCD3D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24374391" w14:textId="77777777">
        <w:tc>
          <w:tcPr>
            <w:tcW w:w="9212" w:type="dxa"/>
          </w:tcPr>
          <w:p w14:paraId="657A69BC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 xml:space="preserve">Wann wurde </w:t>
            </w:r>
            <w:r w:rsidR="002333FF">
              <w:rPr>
                <w:rFonts w:ascii="Arial Narrow" w:hAnsi="Arial Narrow"/>
                <w:b/>
                <w:sz w:val="22"/>
              </w:rPr>
              <w:t xml:space="preserve">bzw. wird </w:t>
            </w:r>
            <w:r w:rsidRPr="005638EB">
              <w:rPr>
                <w:rFonts w:ascii="Arial Narrow" w:hAnsi="Arial Narrow"/>
                <w:b/>
                <w:sz w:val="22"/>
              </w:rPr>
              <w:t>die Methode in Ihrem Krankenhaus eingeführt?</w:t>
            </w:r>
          </w:p>
        </w:tc>
      </w:tr>
      <w:tr w:rsidR="008E6675" w:rsidRPr="005638EB" w14:paraId="4BC61AB6" w14:textId="77777777">
        <w:tc>
          <w:tcPr>
            <w:tcW w:w="9212" w:type="dxa"/>
          </w:tcPr>
          <w:p w14:paraId="7727C539" w14:textId="77777777" w:rsidR="008E6675" w:rsidRPr="005638EB" w:rsidRDefault="00983554" w:rsidP="005638EB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09FB8D7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3D6635CC" w14:textId="77777777">
        <w:tc>
          <w:tcPr>
            <w:tcW w:w="9212" w:type="dxa"/>
          </w:tcPr>
          <w:p w14:paraId="126EBD70" w14:textId="77777777" w:rsidR="008E6675" w:rsidRPr="005638EB" w:rsidRDefault="008E6675" w:rsidP="005638EB">
            <w:pPr>
              <w:rPr>
                <w:rFonts w:ascii="Arial Narrow" w:hAnsi="Arial Narrow"/>
                <w:b/>
              </w:rPr>
            </w:pPr>
            <w:r w:rsidRPr="005638EB">
              <w:rPr>
                <w:rFonts w:ascii="Arial Narrow" w:hAnsi="Arial Narrow"/>
                <w:b/>
                <w:sz w:val="22"/>
              </w:rPr>
              <w:t>In wie vielen Kliniken wird diese Methode derzeit eingesetzt (Schätzung)?</w:t>
            </w:r>
          </w:p>
        </w:tc>
      </w:tr>
      <w:tr w:rsidR="008E6675" w:rsidRPr="005638EB" w14:paraId="4C00526F" w14:textId="77777777">
        <w:tc>
          <w:tcPr>
            <w:tcW w:w="9212" w:type="dxa"/>
          </w:tcPr>
          <w:p w14:paraId="21DD9094" w14:textId="390852DD" w:rsidR="00D929E1" w:rsidRPr="0087187C" w:rsidRDefault="007D00EB" w:rsidP="00C112A6">
            <w:pPr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Etranacogen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</w:rPr>
              <w:t>Dezaparvovec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22"/>
              </w:rPr>
              <w:t>Hemgenix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®) </w:t>
            </w:r>
            <w:r w:rsidR="008E6675" w:rsidRPr="00F000AA">
              <w:rPr>
                <w:rFonts w:ascii="Arial Narrow" w:hAnsi="Arial Narrow"/>
                <w:sz w:val="22"/>
              </w:rPr>
              <w:t xml:space="preserve">wird in </w:t>
            </w:r>
            <w:r w:rsidR="008E6675" w:rsidRPr="00C42080">
              <w:rPr>
                <w:rFonts w:ascii="Arial Narrow" w:hAnsi="Arial Narrow"/>
                <w:sz w:val="22"/>
              </w:rPr>
              <w:t xml:space="preserve">ca. </w:t>
            </w:r>
            <w:r w:rsidR="0087187C" w:rsidRPr="00C42080">
              <w:rPr>
                <w:rFonts w:ascii="Arial Narrow" w:hAnsi="Arial Narrow"/>
                <w:sz w:val="22"/>
              </w:rPr>
              <w:t>5</w:t>
            </w:r>
            <w:r w:rsidR="001E0493" w:rsidRPr="00C42080">
              <w:rPr>
                <w:rFonts w:ascii="Arial Narrow" w:hAnsi="Arial Narrow"/>
                <w:sz w:val="22"/>
              </w:rPr>
              <w:t>-10</w:t>
            </w:r>
            <w:r w:rsidR="008E6675" w:rsidRPr="00C42080">
              <w:rPr>
                <w:rFonts w:ascii="Arial Narrow" w:hAnsi="Arial Narrow"/>
                <w:sz w:val="22"/>
              </w:rPr>
              <w:t xml:space="preserve"> Kliniken</w:t>
            </w:r>
            <w:r w:rsidR="008E6675" w:rsidRPr="00F000AA">
              <w:rPr>
                <w:rFonts w:ascii="Arial Narrow" w:hAnsi="Arial Narrow"/>
                <w:sz w:val="22"/>
              </w:rPr>
              <w:t xml:space="preserve"> in Deutschland eingesetzt (Schätzung</w:t>
            </w:r>
            <w:r w:rsidR="00A100DC">
              <w:rPr>
                <w:rFonts w:ascii="Arial Narrow" w:hAnsi="Arial Narrow"/>
                <w:sz w:val="22"/>
              </w:rPr>
              <w:t xml:space="preserve"> aufgrund der </w:t>
            </w:r>
            <w:r w:rsidR="0087187C">
              <w:rPr>
                <w:rFonts w:ascii="Arial Narrow" w:hAnsi="Arial Narrow"/>
                <w:sz w:val="22"/>
              </w:rPr>
              <w:t xml:space="preserve">bisherigen </w:t>
            </w:r>
            <w:r w:rsidR="00A100DC">
              <w:rPr>
                <w:rFonts w:ascii="Arial Narrow" w:hAnsi="Arial Narrow"/>
                <w:sz w:val="22"/>
              </w:rPr>
              <w:t>NUB-Anfragen</w:t>
            </w:r>
            <w:r w:rsidR="008E6675">
              <w:rPr>
                <w:rFonts w:ascii="Arial Narrow" w:hAnsi="Arial Narrow"/>
                <w:sz w:val="22"/>
              </w:rPr>
              <w:t xml:space="preserve"> </w:t>
            </w:r>
            <w:r w:rsidR="0087187C">
              <w:rPr>
                <w:rFonts w:ascii="Arial Narrow" w:hAnsi="Arial Narrow"/>
                <w:sz w:val="22"/>
              </w:rPr>
              <w:t>für 2025</w:t>
            </w:r>
            <w:r w:rsidR="008E6675" w:rsidRPr="00F000AA">
              <w:rPr>
                <w:rFonts w:ascii="Arial Narrow" w:hAnsi="Arial Narrow"/>
                <w:sz w:val="22"/>
              </w:rPr>
              <w:t>).</w:t>
            </w:r>
          </w:p>
        </w:tc>
      </w:tr>
    </w:tbl>
    <w:p w14:paraId="43674FE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2BCF6BA3" w14:textId="77777777">
        <w:tc>
          <w:tcPr>
            <w:tcW w:w="9212" w:type="dxa"/>
          </w:tcPr>
          <w:p w14:paraId="6D713A1D" w14:textId="1AB2ACBD" w:rsidR="008E6675" w:rsidRPr="005638EB" w:rsidRDefault="008E6675" w:rsidP="00285AE4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Wie viele Patienten wur</w:t>
            </w:r>
            <w:r w:rsidR="000953D2">
              <w:rPr>
                <w:rFonts w:ascii="Arial Narrow" w:hAnsi="Arial Narrow"/>
                <w:b/>
                <w:sz w:val="22"/>
              </w:rPr>
              <w:t xml:space="preserve">den in Ihrem Krankenhaus </w:t>
            </w:r>
            <w:proofErr w:type="gramStart"/>
            <w:r w:rsidR="000953D2">
              <w:rPr>
                <w:rFonts w:ascii="Arial Narrow" w:hAnsi="Arial Narrow"/>
                <w:b/>
                <w:sz w:val="22"/>
              </w:rPr>
              <w:t>in 202</w:t>
            </w:r>
            <w:r w:rsidR="004736E4">
              <w:rPr>
                <w:rFonts w:ascii="Arial Narrow" w:hAnsi="Arial Narrow"/>
                <w:b/>
                <w:sz w:val="22"/>
              </w:rPr>
              <w:t>3</w:t>
            </w:r>
            <w:proofErr w:type="gramEnd"/>
            <w:r w:rsidR="000953D2">
              <w:rPr>
                <w:rFonts w:ascii="Arial Narrow" w:hAnsi="Arial Narrow"/>
                <w:b/>
                <w:sz w:val="22"/>
              </w:rPr>
              <w:t xml:space="preserve"> oder </w:t>
            </w:r>
            <w:proofErr w:type="gramStart"/>
            <w:r w:rsidR="000953D2">
              <w:rPr>
                <w:rFonts w:ascii="Arial Narrow" w:hAnsi="Arial Narrow"/>
                <w:b/>
                <w:sz w:val="22"/>
              </w:rPr>
              <w:t>in 202</w:t>
            </w:r>
            <w:r w:rsidR="004736E4">
              <w:rPr>
                <w:rFonts w:ascii="Arial Narrow" w:hAnsi="Arial Narrow"/>
                <w:b/>
                <w:sz w:val="22"/>
              </w:rPr>
              <w:t>4</w:t>
            </w:r>
            <w:proofErr w:type="gramEnd"/>
            <w:r w:rsidRPr="008C1686">
              <w:rPr>
                <w:rFonts w:ascii="Arial Narrow" w:hAnsi="Arial Narrow"/>
                <w:b/>
                <w:sz w:val="22"/>
              </w:rPr>
              <w:t xml:space="preserve"> mit dieser Methode behandelt?</w:t>
            </w:r>
          </w:p>
        </w:tc>
      </w:tr>
      <w:tr w:rsidR="008E6675" w:rsidRPr="00AB10BF" w14:paraId="5CCFBAD3" w14:textId="77777777">
        <w:tc>
          <w:tcPr>
            <w:tcW w:w="9212" w:type="dxa"/>
          </w:tcPr>
          <w:p w14:paraId="4F6124DB" w14:textId="4372C6C4" w:rsidR="008E6675" w:rsidRPr="00AB10BF" w:rsidRDefault="008E6675" w:rsidP="00285AE4">
            <w:pPr>
              <w:rPr>
                <w:rFonts w:ascii="Arial Narrow" w:hAnsi="Arial Narrow"/>
                <w:sz w:val="22"/>
              </w:rPr>
            </w:pPr>
            <w:r w:rsidRPr="00AB10BF">
              <w:rPr>
                <w:rFonts w:ascii="Arial Narrow" w:hAnsi="Arial Narrow"/>
                <w:sz w:val="22"/>
              </w:rPr>
              <w:t xml:space="preserve">In </w:t>
            </w:r>
            <w:r w:rsidR="000953D2" w:rsidRPr="00AB10BF">
              <w:rPr>
                <w:rFonts w:ascii="Arial Narrow" w:hAnsi="Arial Narrow"/>
                <w:sz w:val="22"/>
              </w:rPr>
              <w:t>202</w:t>
            </w:r>
            <w:r w:rsidR="004736E4">
              <w:rPr>
                <w:rFonts w:ascii="Arial Narrow" w:hAnsi="Arial Narrow"/>
                <w:sz w:val="22"/>
              </w:rPr>
              <w:t>3</w:t>
            </w:r>
          </w:p>
        </w:tc>
      </w:tr>
      <w:tr w:rsidR="00983554" w:rsidRPr="005638EB" w14:paraId="1992E6A2" w14:textId="77777777">
        <w:tc>
          <w:tcPr>
            <w:tcW w:w="9212" w:type="dxa"/>
          </w:tcPr>
          <w:p w14:paraId="283F259E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  <w:tr w:rsidR="008E6675" w:rsidRPr="00AB10BF" w14:paraId="175E4977" w14:textId="77777777">
        <w:tc>
          <w:tcPr>
            <w:tcW w:w="9212" w:type="dxa"/>
          </w:tcPr>
          <w:p w14:paraId="33A68C3A" w14:textId="2909E3F7" w:rsidR="008E6675" w:rsidRPr="00AB10BF" w:rsidRDefault="008E6675" w:rsidP="00285AE4">
            <w:pPr>
              <w:rPr>
                <w:rFonts w:ascii="Arial Narrow" w:hAnsi="Arial Narrow"/>
                <w:sz w:val="22"/>
              </w:rPr>
            </w:pPr>
            <w:r w:rsidRPr="00AB10BF">
              <w:rPr>
                <w:rFonts w:ascii="Arial Narrow" w:hAnsi="Arial Narrow"/>
                <w:sz w:val="22"/>
              </w:rPr>
              <w:t xml:space="preserve">In </w:t>
            </w:r>
            <w:r w:rsidR="000953D2" w:rsidRPr="00AB10BF">
              <w:rPr>
                <w:rFonts w:ascii="Arial Narrow" w:hAnsi="Arial Narrow"/>
                <w:sz w:val="22"/>
              </w:rPr>
              <w:t>202</w:t>
            </w:r>
            <w:r w:rsidR="004736E4">
              <w:rPr>
                <w:rFonts w:ascii="Arial Narrow" w:hAnsi="Arial Narrow"/>
                <w:sz w:val="22"/>
              </w:rPr>
              <w:t>4</w:t>
            </w:r>
          </w:p>
        </w:tc>
      </w:tr>
      <w:tr w:rsidR="00983554" w:rsidRPr="005638EB" w14:paraId="6BABCFC8" w14:textId="77777777">
        <w:tc>
          <w:tcPr>
            <w:tcW w:w="9212" w:type="dxa"/>
          </w:tcPr>
          <w:p w14:paraId="17351D25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394F2677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49B8805A" w14:textId="77777777">
        <w:tc>
          <w:tcPr>
            <w:tcW w:w="9212" w:type="dxa"/>
          </w:tcPr>
          <w:p w14:paraId="2C8371FB" w14:textId="400474CA" w:rsidR="008E6675" w:rsidRPr="005638EB" w:rsidRDefault="008E6675" w:rsidP="00285AE4">
            <w:pPr>
              <w:rPr>
                <w:rFonts w:ascii="Arial Narrow" w:hAnsi="Arial Narrow"/>
              </w:rPr>
            </w:pPr>
            <w:proofErr w:type="spellStart"/>
            <w:r w:rsidRPr="008C1686">
              <w:rPr>
                <w:rFonts w:ascii="Arial Narrow" w:hAnsi="Arial Narrow"/>
                <w:b/>
                <w:sz w:val="22"/>
              </w:rPr>
              <w:t>Wieviele</w:t>
            </w:r>
            <w:proofErr w:type="spellEnd"/>
            <w:r w:rsidRPr="008C1686">
              <w:rPr>
                <w:rFonts w:ascii="Arial Narrow" w:hAnsi="Arial Narrow"/>
                <w:b/>
                <w:sz w:val="22"/>
              </w:rPr>
              <w:t xml:space="preserve"> P</w:t>
            </w:r>
            <w:r w:rsidR="00A530BE">
              <w:rPr>
                <w:rFonts w:ascii="Arial Narrow" w:hAnsi="Arial Narrow"/>
                <w:b/>
                <w:sz w:val="22"/>
              </w:rPr>
              <w:t>atienten planen Sie im Jahr 20</w:t>
            </w:r>
            <w:r w:rsidR="000953D2">
              <w:rPr>
                <w:rFonts w:ascii="Arial Narrow" w:hAnsi="Arial Narrow"/>
                <w:b/>
                <w:sz w:val="22"/>
              </w:rPr>
              <w:t>2</w:t>
            </w:r>
            <w:r w:rsidR="004736E4">
              <w:rPr>
                <w:rFonts w:ascii="Arial Narrow" w:hAnsi="Arial Narrow"/>
                <w:b/>
                <w:sz w:val="22"/>
              </w:rPr>
              <w:t>5</w:t>
            </w:r>
            <w:r w:rsidRPr="008C1686">
              <w:rPr>
                <w:rFonts w:ascii="Arial Narrow" w:hAnsi="Arial Narrow"/>
                <w:b/>
                <w:sz w:val="22"/>
              </w:rPr>
              <w:t xml:space="preserve"> mit dieser Methode zu behandeln?</w:t>
            </w:r>
          </w:p>
        </w:tc>
      </w:tr>
      <w:tr w:rsidR="00983554" w:rsidRPr="005638EB" w14:paraId="742C5EF0" w14:textId="77777777">
        <w:tc>
          <w:tcPr>
            <w:tcW w:w="9212" w:type="dxa"/>
          </w:tcPr>
          <w:p w14:paraId="4620D230" w14:textId="77777777" w:rsidR="00983554" w:rsidRPr="005638EB" w:rsidRDefault="00983554" w:rsidP="0036178C">
            <w:pPr>
              <w:rPr>
                <w:rFonts w:ascii="Arial Narrow" w:hAnsi="Arial Narrow"/>
              </w:rPr>
            </w:pPr>
            <w:r w:rsidRPr="00983554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654325C8" w14:textId="77777777" w:rsidR="008E6675" w:rsidRPr="005638EB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4A6A805" w14:textId="77777777">
        <w:tc>
          <w:tcPr>
            <w:tcW w:w="9212" w:type="dxa"/>
          </w:tcPr>
          <w:p w14:paraId="5C0D4897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="008E6675" w:rsidRPr="005638EB" w14:paraId="169DFC57" w14:textId="77777777">
        <w:tc>
          <w:tcPr>
            <w:tcW w:w="9212" w:type="dxa"/>
          </w:tcPr>
          <w:p w14:paraId="751D12DE" w14:textId="77777777" w:rsidR="000953D2" w:rsidRPr="00D80452" w:rsidRDefault="008E6675" w:rsidP="005638EB">
            <w:pPr>
              <w:rPr>
                <w:rFonts w:ascii="Arial Narrow" w:hAnsi="Arial Narrow"/>
                <w:b/>
                <w:bCs/>
                <w:sz w:val="22"/>
              </w:rPr>
            </w:pPr>
            <w:r w:rsidRPr="00D80452">
              <w:rPr>
                <w:rFonts w:ascii="Arial Narrow" w:hAnsi="Arial Narrow"/>
                <w:b/>
                <w:bCs/>
                <w:sz w:val="22"/>
              </w:rPr>
              <w:t xml:space="preserve">Sachkosten: </w:t>
            </w:r>
          </w:p>
          <w:p w14:paraId="296B0CAB" w14:textId="29C9ADAB" w:rsidR="00A56362" w:rsidRPr="00E04CD3" w:rsidRDefault="00D675F1" w:rsidP="00A56362">
            <w:pPr>
              <w:rPr>
                <w:rFonts w:ascii="Arial Narrow" w:hAnsi="Arial Narrow"/>
                <w:sz w:val="22"/>
              </w:rPr>
            </w:pPr>
            <w:r w:rsidRPr="00E04CD3">
              <w:rPr>
                <w:rFonts w:ascii="Arial Narrow" w:hAnsi="Arial Narrow"/>
                <w:sz w:val="22"/>
                <w:szCs w:val="22"/>
              </w:rPr>
              <w:t xml:space="preserve">Die empfohlene Dosis von </w:t>
            </w:r>
            <w:proofErr w:type="spellStart"/>
            <w:r w:rsidR="00141D05" w:rsidRPr="00E04CD3">
              <w:rPr>
                <w:rFonts w:ascii="Arial Narrow" w:hAnsi="Arial Narrow"/>
                <w:sz w:val="22"/>
              </w:rPr>
              <w:t>Etranacogen</w:t>
            </w:r>
            <w:proofErr w:type="spellEnd"/>
            <w:r w:rsidR="00141D05" w:rsidRPr="00E04CD3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814B90" w:rsidRPr="00E04CD3">
              <w:rPr>
                <w:rFonts w:ascii="Arial Narrow" w:hAnsi="Arial Narrow"/>
                <w:sz w:val="22"/>
              </w:rPr>
              <w:t>d</w:t>
            </w:r>
            <w:r w:rsidR="00141D05" w:rsidRPr="00E04CD3">
              <w:rPr>
                <w:rFonts w:ascii="Arial Narrow" w:hAnsi="Arial Narrow"/>
                <w:sz w:val="22"/>
              </w:rPr>
              <w:t>ezaparvovec</w:t>
            </w:r>
            <w:proofErr w:type="spellEnd"/>
            <w:r w:rsidR="00141D05" w:rsidRPr="00E04CD3">
              <w:rPr>
                <w:rFonts w:ascii="Arial Narrow" w:hAnsi="Arial Narrow"/>
                <w:sz w:val="22"/>
              </w:rPr>
              <w:t xml:space="preserve"> (</w:t>
            </w:r>
            <w:proofErr w:type="spellStart"/>
            <w:r w:rsidRPr="00E04CD3">
              <w:rPr>
                <w:rFonts w:ascii="Arial Narrow" w:hAnsi="Arial Narrow"/>
                <w:sz w:val="22"/>
                <w:szCs w:val="22"/>
              </w:rPr>
              <w:t>Hemgenix</w:t>
            </w:r>
            <w:proofErr w:type="spellEnd"/>
            <w:r w:rsidR="00141D05" w:rsidRPr="00E04CD3">
              <w:rPr>
                <w:rFonts w:ascii="Arial Narrow" w:hAnsi="Arial Narrow"/>
                <w:color w:val="000000" w:themeColor="text1"/>
                <w:sz w:val="22"/>
                <w:szCs w:val="22"/>
              </w:rPr>
              <w:t>®)</w:t>
            </w:r>
            <w:r w:rsidR="00141D05" w:rsidRPr="00E04CD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04CD3">
              <w:rPr>
                <w:rFonts w:ascii="Arial Narrow" w:hAnsi="Arial Narrow"/>
                <w:sz w:val="22"/>
                <w:szCs w:val="22"/>
              </w:rPr>
              <w:t>ist eine Einzeldosis von 2 x 10</w:t>
            </w:r>
            <w:r w:rsidR="00CC682C" w:rsidRPr="00E04CD3">
              <w:rPr>
                <w:rFonts w:ascii="Arial Narrow" w:hAnsi="Arial Narrow"/>
                <w:sz w:val="22"/>
                <w:szCs w:val="22"/>
              </w:rPr>
              <w:t>¹³</w:t>
            </w:r>
            <w:r w:rsidRPr="00E04CD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D7645" w:rsidRPr="00E04CD3">
              <w:rPr>
                <w:rFonts w:ascii="Arial Narrow" w:hAnsi="Arial Narrow"/>
                <w:sz w:val="22"/>
                <w:szCs w:val="22"/>
              </w:rPr>
              <w:t>Genomkopien(</w:t>
            </w:r>
            <w:proofErr w:type="spellStart"/>
            <w:r w:rsidRPr="00E04CD3">
              <w:rPr>
                <w:rFonts w:ascii="Arial Narrow" w:hAnsi="Arial Narrow"/>
                <w:sz w:val="22"/>
                <w:szCs w:val="22"/>
              </w:rPr>
              <w:t>gc</w:t>
            </w:r>
            <w:proofErr w:type="spellEnd"/>
            <w:r w:rsidR="007D7645" w:rsidRPr="00E04CD3">
              <w:rPr>
                <w:rFonts w:ascii="Arial Narrow" w:hAnsi="Arial Narrow"/>
                <w:sz w:val="22"/>
                <w:szCs w:val="22"/>
              </w:rPr>
              <w:t>)</w:t>
            </w:r>
            <w:r w:rsidRPr="00E04CD3">
              <w:rPr>
                <w:rFonts w:ascii="Arial Narrow" w:hAnsi="Arial Narrow"/>
                <w:sz w:val="22"/>
                <w:szCs w:val="22"/>
              </w:rPr>
              <w:t>/kg Körpergewicht, entsprechend 2 ml/kg Körpergewicht</w:t>
            </w:r>
            <w:r w:rsidR="00A56362" w:rsidRPr="00E04CD3">
              <w:rPr>
                <w:rFonts w:ascii="Arial Narrow" w:hAnsi="Arial Narrow"/>
                <w:sz w:val="22"/>
                <w:szCs w:val="22"/>
              </w:rPr>
              <w:t xml:space="preserve"> (KG)</w:t>
            </w:r>
            <w:r w:rsidRPr="00E04CD3">
              <w:rPr>
                <w:rFonts w:ascii="Arial Narrow" w:hAnsi="Arial Narrow"/>
                <w:sz w:val="22"/>
                <w:szCs w:val="22"/>
              </w:rPr>
              <w:t>.</w:t>
            </w:r>
            <w:r w:rsidR="00E043CB" w:rsidRPr="00E04CD3">
              <w:rPr>
                <w:rFonts w:ascii="Arial Narrow" w:hAnsi="Arial Narrow"/>
                <w:sz w:val="22"/>
                <w:szCs w:val="22"/>
              </w:rPr>
              <w:t xml:space="preserve"> Bei einem </w:t>
            </w:r>
            <w:r w:rsidR="00E04CD3">
              <w:rPr>
                <w:rFonts w:ascii="Arial Narrow" w:hAnsi="Arial Narrow"/>
                <w:sz w:val="22"/>
                <w:szCs w:val="22"/>
              </w:rPr>
              <w:t>P</w:t>
            </w:r>
            <w:r w:rsidR="00E043CB" w:rsidRPr="00E04CD3">
              <w:rPr>
                <w:rFonts w:ascii="Arial Narrow" w:hAnsi="Arial Narrow"/>
                <w:sz w:val="22"/>
                <w:szCs w:val="22"/>
              </w:rPr>
              <w:t xml:space="preserve">atienten mit 75 kg Körpergewicht beträgt die Dosis </w:t>
            </w:r>
            <w:r w:rsidR="00A56362" w:rsidRPr="00E04CD3">
              <w:rPr>
                <w:rFonts w:ascii="Arial Narrow" w:hAnsi="Arial Narrow"/>
                <w:sz w:val="22"/>
                <w:szCs w:val="22"/>
              </w:rPr>
              <w:t>damit 150 ml (</w:t>
            </w:r>
            <w:r w:rsidR="00A56362" w:rsidRPr="00E04CD3">
              <w:rPr>
                <w:rFonts w:ascii="Arial Narrow" w:hAnsi="Arial Narrow"/>
                <w:sz w:val="22"/>
              </w:rPr>
              <w:t>75 kg * 2 ml/kg KG)</w:t>
            </w:r>
            <w:r w:rsidR="007D7645" w:rsidRPr="00E04CD3">
              <w:rPr>
                <w:rFonts w:ascii="Arial Narrow" w:hAnsi="Arial Narrow"/>
                <w:sz w:val="22"/>
              </w:rPr>
              <w:t xml:space="preserve"> beziehungsweise</w:t>
            </w:r>
            <w:r w:rsidR="00B6268D" w:rsidRPr="00E04CD3">
              <w:rPr>
                <w:rFonts w:ascii="Arial Narrow" w:hAnsi="Arial Narrow"/>
                <w:sz w:val="22"/>
              </w:rPr>
              <w:t xml:space="preserve"> </w:t>
            </w:r>
            <w:r w:rsidR="00AC08CE" w:rsidRPr="00E04CD3">
              <w:rPr>
                <w:rFonts w:ascii="Arial Narrow" w:hAnsi="Arial Narrow"/>
                <w:sz w:val="22"/>
              </w:rPr>
              <w:t xml:space="preserve">150 x </w:t>
            </w:r>
            <w:r w:rsidR="006525F7" w:rsidRPr="00E04CD3">
              <w:rPr>
                <w:rFonts w:ascii="Arial Narrow" w:hAnsi="Arial Narrow"/>
                <w:sz w:val="22"/>
                <w:szCs w:val="22"/>
              </w:rPr>
              <w:t xml:space="preserve">10¹³ </w:t>
            </w:r>
            <w:proofErr w:type="spellStart"/>
            <w:r w:rsidR="006525F7" w:rsidRPr="00E04CD3">
              <w:rPr>
                <w:rFonts w:ascii="Arial Narrow" w:hAnsi="Arial Narrow"/>
                <w:sz w:val="22"/>
                <w:szCs w:val="22"/>
              </w:rPr>
              <w:t>gc</w:t>
            </w:r>
            <w:proofErr w:type="spellEnd"/>
            <w:r w:rsidR="006525F7" w:rsidRPr="00E04CD3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0F0E4AE2" w14:textId="77777777" w:rsidR="002B19A8" w:rsidRPr="00E04CD3" w:rsidRDefault="002B19A8" w:rsidP="002B19A8">
            <w:pPr>
              <w:rPr>
                <w:rFonts w:ascii="Arial Narrow" w:hAnsi="Arial Narrow"/>
                <w:sz w:val="22"/>
              </w:rPr>
            </w:pPr>
            <w:r w:rsidRPr="00E04CD3">
              <w:rPr>
                <w:rFonts w:ascii="Arial Narrow" w:hAnsi="Arial Narrow"/>
                <w:sz w:val="22"/>
              </w:rPr>
              <w:t>Packungsgröße: Die Gesamtzahl der Durchstechflaschen in jeder Packung entspricht dem Dosierungsbedarf für den betreffenden Patienten, abhängig vom Körpergewicht des Patienten.</w:t>
            </w:r>
          </w:p>
          <w:p w14:paraId="5A1A183B" w14:textId="5770CF63" w:rsidR="00A530BE" w:rsidRPr="00E04CD3" w:rsidRDefault="008A3C55" w:rsidP="005638EB">
            <w:pPr>
              <w:rPr>
                <w:rFonts w:ascii="Arial Narrow" w:hAnsi="Arial Narrow"/>
                <w:sz w:val="22"/>
              </w:rPr>
            </w:pPr>
            <w:r w:rsidRPr="00E04CD3">
              <w:rPr>
                <w:rFonts w:ascii="Arial Narrow" w:hAnsi="Arial Narrow"/>
                <w:sz w:val="22"/>
                <w:szCs w:val="22"/>
              </w:rPr>
              <w:t>Unabhängig von der Gesamtzahl der Durchstechflaschen fällt ein Pauschalpreis pro Packung</w:t>
            </w:r>
            <w:r w:rsidR="001B22B3" w:rsidRPr="00E04CD3">
              <w:rPr>
                <w:rFonts w:ascii="Arial Narrow" w:hAnsi="Arial Narrow"/>
                <w:sz w:val="22"/>
                <w:szCs w:val="22"/>
              </w:rPr>
              <w:t xml:space="preserve"> an. Dieser Pauschalpreis beläuft sich auf </w:t>
            </w:r>
            <w:r w:rsidR="002E6109" w:rsidRPr="00E04CD3">
              <w:rPr>
                <w:rFonts w:ascii="Arial Narrow" w:hAnsi="Arial Narrow"/>
                <w:sz w:val="22"/>
              </w:rPr>
              <w:t>2.</w:t>
            </w:r>
            <w:r w:rsidR="00BC6316" w:rsidRPr="00E04CD3">
              <w:rPr>
                <w:rFonts w:ascii="Arial Narrow" w:hAnsi="Arial Narrow"/>
                <w:sz w:val="22"/>
              </w:rPr>
              <w:t>482.100,16</w:t>
            </w:r>
            <w:r w:rsidR="002E6109" w:rsidRPr="00E04CD3">
              <w:rPr>
                <w:rFonts w:ascii="Arial Narrow" w:hAnsi="Arial Narrow"/>
                <w:sz w:val="22"/>
              </w:rPr>
              <w:t xml:space="preserve"> </w:t>
            </w:r>
            <w:r w:rsidR="00A530BE" w:rsidRPr="00E04CD3">
              <w:rPr>
                <w:rFonts w:ascii="Arial Narrow" w:hAnsi="Arial Narrow"/>
                <w:sz w:val="22"/>
              </w:rPr>
              <w:t>€</w:t>
            </w:r>
            <w:r w:rsidR="008C6E1A" w:rsidRPr="00E04CD3">
              <w:rPr>
                <w:rFonts w:ascii="Arial Narrow" w:hAnsi="Arial Narrow"/>
                <w:sz w:val="22"/>
              </w:rPr>
              <w:t xml:space="preserve"> (Taxe-VK inkl. MwSt., gem. </w:t>
            </w:r>
            <w:proofErr w:type="spellStart"/>
            <w:r w:rsidR="008C6E1A" w:rsidRPr="00E04CD3">
              <w:rPr>
                <w:rFonts w:ascii="Arial Narrow" w:hAnsi="Arial Narrow"/>
                <w:sz w:val="22"/>
              </w:rPr>
              <w:t>LauerTaxe</w:t>
            </w:r>
            <w:proofErr w:type="spellEnd"/>
            <w:r w:rsidR="008C6E1A" w:rsidRPr="00E04CD3">
              <w:rPr>
                <w:rFonts w:ascii="Arial Narrow" w:hAnsi="Arial Narrow"/>
                <w:sz w:val="22"/>
              </w:rPr>
              <w:t xml:space="preserve">, Stand </w:t>
            </w:r>
            <w:r w:rsidR="00BC6316" w:rsidRPr="00E04CD3">
              <w:rPr>
                <w:rFonts w:ascii="Arial Narrow" w:hAnsi="Arial Narrow"/>
                <w:sz w:val="22"/>
              </w:rPr>
              <w:t>01.04</w:t>
            </w:r>
            <w:r w:rsidR="008C6E1A" w:rsidRPr="00E04CD3">
              <w:rPr>
                <w:rFonts w:ascii="Arial Narrow" w:hAnsi="Arial Narrow"/>
                <w:sz w:val="22"/>
              </w:rPr>
              <w:t>.2025)</w:t>
            </w:r>
            <w:r w:rsidR="00EB54B7" w:rsidRPr="00E04CD3">
              <w:rPr>
                <w:rFonts w:ascii="Arial Narrow" w:hAnsi="Arial Narrow"/>
                <w:sz w:val="22"/>
              </w:rPr>
              <w:t xml:space="preserve"> </w:t>
            </w:r>
            <w:proofErr w:type="gramStart"/>
            <w:r w:rsidR="00EB54B7" w:rsidRPr="00E04CD3">
              <w:rPr>
                <w:rFonts w:ascii="Arial Narrow" w:hAnsi="Arial Narrow"/>
                <w:sz w:val="22"/>
              </w:rPr>
              <w:t xml:space="preserve">pro </w:t>
            </w:r>
            <w:r w:rsidR="005B547D" w:rsidRPr="00E04CD3">
              <w:rPr>
                <w:rFonts w:ascii="Arial Narrow" w:hAnsi="Arial Narrow"/>
                <w:sz w:val="22"/>
              </w:rPr>
              <w:t>behandeltem Patienten</w:t>
            </w:r>
            <w:proofErr w:type="gramEnd"/>
            <w:r w:rsidR="001B22B3" w:rsidRPr="00E04CD3">
              <w:rPr>
                <w:rFonts w:ascii="Arial Narrow" w:hAnsi="Arial Narrow"/>
                <w:sz w:val="22"/>
              </w:rPr>
              <w:t>.</w:t>
            </w:r>
          </w:p>
          <w:p w14:paraId="04B28E34" w14:textId="7631DA27" w:rsidR="0078272D" w:rsidRPr="00925542" w:rsidRDefault="0078272D" w:rsidP="00F23AC6">
            <w:pPr>
              <w:rPr>
                <w:rFonts w:ascii="Arial Narrow" w:hAnsi="Arial Narrow"/>
                <w:color w:val="548DD4" w:themeColor="text2" w:themeTint="99"/>
                <w:sz w:val="22"/>
              </w:rPr>
            </w:pPr>
          </w:p>
          <w:p w14:paraId="51062227" w14:textId="56E4282F" w:rsidR="00A530BE" w:rsidRPr="00F23AC6" w:rsidRDefault="00A530BE" w:rsidP="005638EB">
            <w:pPr>
              <w:rPr>
                <w:rFonts w:ascii="Arial Narrow" w:hAnsi="Arial Narrow"/>
                <w:b/>
                <w:bCs/>
                <w:color w:val="000000" w:themeColor="text1"/>
                <w:sz w:val="22"/>
              </w:rPr>
            </w:pPr>
            <w:r w:rsidRPr="00F23AC6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Personalk</w:t>
            </w:r>
            <w:r w:rsidR="001774E7" w:rsidRPr="00F23AC6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osten</w:t>
            </w:r>
          </w:p>
          <w:p w14:paraId="73591406" w14:textId="77777777" w:rsidR="00A530BE" w:rsidRPr="001774E7" w:rsidRDefault="00A530BE" w:rsidP="005638EB">
            <w:pPr>
              <w:rPr>
                <w:rFonts w:ascii="Arial Narrow" w:hAnsi="Arial Narrow"/>
                <w:sz w:val="22"/>
              </w:rPr>
            </w:pPr>
            <w:r w:rsidRPr="001774E7">
              <w:rPr>
                <w:rFonts w:ascii="Arial Narrow" w:hAnsi="Arial Narrow"/>
                <w:sz w:val="22"/>
              </w:rPr>
              <w:t>Für die Zubereitung: ca. 10 Minuten (</w:t>
            </w:r>
            <w:proofErr w:type="gramStart"/>
            <w:r w:rsidRPr="001774E7">
              <w:rPr>
                <w:rFonts w:ascii="Arial Narrow" w:hAnsi="Arial Narrow"/>
                <w:sz w:val="22"/>
              </w:rPr>
              <w:t>MTD Apotheke</w:t>
            </w:r>
            <w:proofErr w:type="gramEnd"/>
            <w:r w:rsidRPr="001774E7">
              <w:rPr>
                <w:rFonts w:ascii="Arial Narrow" w:hAnsi="Arial Narrow"/>
                <w:sz w:val="22"/>
              </w:rPr>
              <w:t>)</w:t>
            </w:r>
          </w:p>
          <w:p w14:paraId="3B620C90" w14:textId="77777777" w:rsidR="00A530BE" w:rsidRPr="001774E7" w:rsidRDefault="00A530BE" w:rsidP="005638EB">
            <w:pPr>
              <w:rPr>
                <w:rFonts w:ascii="Arial Narrow" w:hAnsi="Arial Narrow"/>
                <w:sz w:val="22"/>
              </w:rPr>
            </w:pPr>
            <w:r w:rsidRPr="001774E7">
              <w:rPr>
                <w:rFonts w:ascii="Arial Narrow" w:hAnsi="Arial Narrow"/>
                <w:sz w:val="22"/>
              </w:rPr>
              <w:t>Für die Applikation: ca. 5 Minuten (ÄD) und ca. 5 Minuten (PD)</w:t>
            </w:r>
          </w:p>
          <w:p w14:paraId="06DA6D36" w14:textId="529B8BBC" w:rsidR="00CC7E5F" w:rsidRDefault="00A530BE" w:rsidP="005638EB">
            <w:pPr>
              <w:rPr>
                <w:rFonts w:ascii="Arial Narrow" w:hAnsi="Arial Narrow"/>
                <w:sz w:val="22"/>
              </w:rPr>
            </w:pPr>
            <w:r w:rsidRPr="001774E7">
              <w:rPr>
                <w:rFonts w:ascii="Arial Narrow" w:hAnsi="Arial Narrow"/>
                <w:sz w:val="22"/>
              </w:rPr>
              <w:t>Für die Überwachung: ca. 30 Minuten (PD), ca. 10 Minuten (ÄD)</w:t>
            </w:r>
          </w:p>
          <w:p w14:paraId="2FF5610D" w14:textId="77777777" w:rsidR="00620855" w:rsidRPr="00620855" w:rsidRDefault="00620855" w:rsidP="005638EB">
            <w:pPr>
              <w:rPr>
                <w:rFonts w:ascii="Arial Narrow" w:hAnsi="Arial Narrow"/>
                <w:sz w:val="22"/>
              </w:rPr>
            </w:pPr>
          </w:p>
          <w:p w14:paraId="7D03D20B" w14:textId="1B1EEED4" w:rsidR="00156FE0" w:rsidRPr="001774E7" w:rsidRDefault="00F23AC6" w:rsidP="007A314E">
            <w:pPr>
              <w:rPr>
                <w:rFonts w:ascii="Arial Narrow" w:hAnsi="Arial Narrow"/>
                <w:color w:val="548DD4" w:themeColor="text2" w:themeTint="99"/>
              </w:rPr>
            </w:pPr>
            <w:r w:rsidRPr="00E70287">
              <w:rPr>
                <w:rFonts w:ascii="Arial Narrow" w:hAnsi="Arial Narrow"/>
                <w:sz w:val="22"/>
              </w:rPr>
              <w:t>Es</w:t>
            </w:r>
            <w:r w:rsidR="00CC7E5F" w:rsidRPr="00E70287">
              <w:rPr>
                <w:rFonts w:ascii="Arial Narrow" w:hAnsi="Arial Narrow"/>
                <w:sz w:val="22"/>
              </w:rPr>
              <w:t xml:space="preserve"> geschieht </w:t>
            </w:r>
            <w:r w:rsidR="001774E7" w:rsidRPr="00E70287">
              <w:rPr>
                <w:rFonts w:ascii="Arial Narrow" w:hAnsi="Arial Narrow"/>
                <w:sz w:val="22"/>
              </w:rPr>
              <w:t>eher selten</w:t>
            </w:r>
            <w:r w:rsidR="00CC7E5F" w:rsidRPr="00E70287">
              <w:rPr>
                <w:rFonts w:ascii="Arial Narrow" w:hAnsi="Arial Narrow"/>
                <w:sz w:val="22"/>
              </w:rPr>
              <w:t xml:space="preserve">, dass ein Patient für die Gabe </w:t>
            </w:r>
            <w:r w:rsidR="005755C1">
              <w:rPr>
                <w:rFonts w:ascii="Arial Narrow" w:hAnsi="Arial Narrow"/>
                <w:sz w:val="22"/>
              </w:rPr>
              <w:t xml:space="preserve">von </w:t>
            </w:r>
            <w:proofErr w:type="spellStart"/>
            <w:r w:rsidR="005755C1" w:rsidRPr="00F23AC6">
              <w:rPr>
                <w:rFonts w:ascii="Arial Narrow" w:hAnsi="Arial Narrow"/>
                <w:sz w:val="22"/>
              </w:rPr>
              <w:t>Etranacogen</w:t>
            </w:r>
            <w:proofErr w:type="spellEnd"/>
            <w:r w:rsidR="005755C1" w:rsidRPr="00F23AC6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814B90">
              <w:rPr>
                <w:rFonts w:ascii="Arial Narrow" w:hAnsi="Arial Narrow"/>
                <w:sz w:val="22"/>
              </w:rPr>
              <w:t>d</w:t>
            </w:r>
            <w:r w:rsidR="005755C1" w:rsidRPr="00F23AC6">
              <w:rPr>
                <w:rFonts w:ascii="Arial Narrow" w:hAnsi="Arial Narrow"/>
                <w:sz w:val="22"/>
              </w:rPr>
              <w:t>ezaparvovec</w:t>
            </w:r>
            <w:proofErr w:type="spellEnd"/>
            <w:r w:rsidR="005755C1">
              <w:rPr>
                <w:rFonts w:ascii="Arial Narrow" w:hAnsi="Arial Narrow"/>
                <w:sz w:val="22"/>
              </w:rPr>
              <w:t xml:space="preserve"> (</w:t>
            </w:r>
            <w:proofErr w:type="spellStart"/>
            <w:r w:rsidR="005755C1" w:rsidRPr="00D675F1">
              <w:rPr>
                <w:rFonts w:ascii="Arial Narrow" w:hAnsi="Arial Narrow"/>
                <w:sz w:val="22"/>
                <w:szCs w:val="22"/>
              </w:rPr>
              <w:t>Hemgenix</w:t>
            </w:r>
            <w:proofErr w:type="spellEnd"/>
            <w:r w:rsidR="005755C1" w:rsidRPr="00141D05">
              <w:rPr>
                <w:rFonts w:ascii="Arial Narrow" w:hAnsi="Arial Narrow"/>
                <w:color w:val="000000" w:themeColor="text1"/>
                <w:sz w:val="22"/>
                <w:szCs w:val="22"/>
              </w:rPr>
              <w:t>®</w:t>
            </w:r>
            <w:r w:rsidR="005755C1">
              <w:rPr>
                <w:rFonts w:ascii="Arial Narrow" w:hAnsi="Arial Narrow"/>
                <w:color w:val="000000" w:themeColor="text1"/>
                <w:sz w:val="22"/>
                <w:szCs w:val="22"/>
              </w:rPr>
              <w:t>)</w:t>
            </w:r>
            <w:r w:rsidR="00CC7E5F" w:rsidRPr="00E70287">
              <w:rPr>
                <w:rFonts w:ascii="Arial Narrow" w:hAnsi="Arial Narrow"/>
                <w:sz w:val="22"/>
              </w:rPr>
              <w:t xml:space="preserve"> </w:t>
            </w:r>
            <w:r w:rsidR="001774E7" w:rsidRPr="00E70287">
              <w:rPr>
                <w:rFonts w:ascii="Arial Narrow" w:hAnsi="Arial Narrow"/>
                <w:sz w:val="22"/>
              </w:rPr>
              <w:t>stationär behandelt</w:t>
            </w:r>
            <w:r w:rsidR="00CC7E5F" w:rsidRPr="00E70287">
              <w:rPr>
                <w:rFonts w:ascii="Arial Narrow" w:hAnsi="Arial Narrow"/>
                <w:sz w:val="22"/>
              </w:rPr>
              <w:t xml:space="preserve"> wird und </w:t>
            </w:r>
            <w:r w:rsidR="005755C1">
              <w:rPr>
                <w:rFonts w:ascii="Arial Narrow" w:hAnsi="Arial Narrow"/>
                <w:sz w:val="22"/>
              </w:rPr>
              <w:t xml:space="preserve">sein Fall </w:t>
            </w:r>
            <w:r w:rsidR="00CC7E5F" w:rsidRPr="00E70287">
              <w:rPr>
                <w:rFonts w:ascii="Arial Narrow" w:hAnsi="Arial Narrow"/>
                <w:sz w:val="22"/>
              </w:rPr>
              <w:t xml:space="preserve">somit in </w:t>
            </w:r>
            <w:r w:rsidR="001774E7" w:rsidRPr="00E70287">
              <w:rPr>
                <w:rFonts w:ascii="Arial Narrow" w:hAnsi="Arial Narrow"/>
                <w:sz w:val="22"/>
              </w:rPr>
              <w:t>eine</w:t>
            </w:r>
            <w:r w:rsidR="00CC7E5F" w:rsidRPr="00E70287">
              <w:rPr>
                <w:rFonts w:ascii="Arial Narrow" w:hAnsi="Arial Narrow"/>
                <w:sz w:val="22"/>
              </w:rPr>
              <w:t xml:space="preserve"> organ</w:t>
            </w:r>
            <w:r w:rsidR="001774E7" w:rsidRPr="00E70287">
              <w:rPr>
                <w:rFonts w:ascii="Arial Narrow" w:hAnsi="Arial Narrow"/>
                <w:sz w:val="22"/>
              </w:rPr>
              <w:t xml:space="preserve">spezifische DRG </w:t>
            </w:r>
            <w:r w:rsidR="00CC7E5F" w:rsidRPr="00E70287">
              <w:rPr>
                <w:rFonts w:ascii="Arial Narrow" w:hAnsi="Arial Narrow"/>
                <w:sz w:val="22"/>
              </w:rPr>
              <w:t xml:space="preserve">gruppiert wird. </w:t>
            </w:r>
            <w:r w:rsidR="001774E7" w:rsidRPr="00E70287">
              <w:rPr>
                <w:rFonts w:ascii="Arial Narrow" w:hAnsi="Arial Narrow"/>
                <w:sz w:val="22"/>
              </w:rPr>
              <w:t>Es</w:t>
            </w:r>
            <w:r w:rsidR="001774E7" w:rsidRPr="001774E7">
              <w:rPr>
                <w:rFonts w:ascii="Arial Narrow" w:hAnsi="Arial Narrow"/>
                <w:sz w:val="22"/>
              </w:rPr>
              <w:t xml:space="preserve"> </w:t>
            </w:r>
            <w:r w:rsidR="00CC7E5F" w:rsidRPr="001774E7">
              <w:rPr>
                <w:rFonts w:ascii="Arial Narrow" w:hAnsi="Arial Narrow"/>
                <w:sz w:val="22"/>
              </w:rPr>
              <w:t>kommt häufiger vor, dass der Patient wegen einer anderen Erkrankung aufgenommen wird und diese</w:t>
            </w:r>
            <w:r w:rsidR="001774E7" w:rsidRPr="001774E7">
              <w:rPr>
                <w:rFonts w:ascii="Arial Narrow" w:hAnsi="Arial Narrow"/>
                <w:sz w:val="22"/>
              </w:rPr>
              <w:t>s Medikament</w:t>
            </w:r>
            <w:r w:rsidR="00CC7E5F" w:rsidRPr="001774E7">
              <w:rPr>
                <w:rFonts w:ascii="Arial Narrow" w:hAnsi="Arial Narrow"/>
                <w:sz w:val="22"/>
              </w:rPr>
              <w:t xml:space="preserve"> erhält.</w:t>
            </w:r>
            <w:r w:rsidR="007D00EB">
              <w:rPr>
                <w:rFonts w:ascii="Arial Narrow" w:hAnsi="Arial Narrow"/>
                <w:sz w:val="22"/>
              </w:rPr>
              <w:t xml:space="preserve"> </w:t>
            </w:r>
            <w:r w:rsidR="00CC7E5F" w:rsidRPr="001774E7">
              <w:rPr>
                <w:rFonts w:ascii="Arial Narrow" w:hAnsi="Arial Narrow"/>
                <w:sz w:val="22"/>
              </w:rPr>
              <w:t xml:space="preserve">Kosten für dieses Medikament </w:t>
            </w:r>
            <w:r w:rsidR="001774E7" w:rsidRPr="001774E7">
              <w:rPr>
                <w:rFonts w:ascii="Arial Narrow" w:hAnsi="Arial Narrow"/>
                <w:sz w:val="22"/>
              </w:rPr>
              <w:t>können</w:t>
            </w:r>
            <w:r w:rsidR="00CC7E5F" w:rsidRPr="001774E7">
              <w:rPr>
                <w:rFonts w:ascii="Arial Narrow" w:hAnsi="Arial Narrow"/>
                <w:sz w:val="22"/>
              </w:rPr>
              <w:t xml:space="preserve"> daher in </w:t>
            </w:r>
            <w:r w:rsidR="001774E7" w:rsidRPr="001774E7">
              <w:rPr>
                <w:rFonts w:ascii="Arial Narrow" w:hAnsi="Arial Narrow"/>
                <w:sz w:val="22"/>
              </w:rPr>
              <w:t>vielen</w:t>
            </w:r>
            <w:r w:rsidR="00CC7E5F" w:rsidRPr="001774E7">
              <w:rPr>
                <w:rFonts w:ascii="Arial Narrow" w:hAnsi="Arial Narrow"/>
                <w:sz w:val="22"/>
              </w:rPr>
              <w:t xml:space="preserve"> DRG</w:t>
            </w:r>
            <w:r w:rsidR="001774E7" w:rsidRPr="001774E7">
              <w:rPr>
                <w:rFonts w:ascii="Arial Narrow" w:hAnsi="Arial Narrow"/>
                <w:sz w:val="22"/>
              </w:rPr>
              <w:t>s</w:t>
            </w:r>
            <w:r w:rsidR="00CC7E5F" w:rsidRPr="001774E7">
              <w:rPr>
                <w:rFonts w:ascii="Arial Narrow" w:hAnsi="Arial Narrow"/>
                <w:sz w:val="22"/>
              </w:rPr>
              <w:t xml:space="preserve"> vorkommen und sind möglicherweise auch nicht konkret dem Fall zugeordnet</w:t>
            </w:r>
            <w:r w:rsidR="001774E7" w:rsidRPr="001774E7">
              <w:rPr>
                <w:rFonts w:ascii="Arial Narrow" w:hAnsi="Arial Narrow"/>
                <w:sz w:val="22"/>
              </w:rPr>
              <w:t>.</w:t>
            </w:r>
          </w:p>
        </w:tc>
      </w:tr>
    </w:tbl>
    <w:p w14:paraId="45E65153" w14:textId="77777777" w:rsidR="008E6675" w:rsidRPr="005638EB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0D84EF57" w14:textId="77777777">
        <w:tc>
          <w:tcPr>
            <w:tcW w:w="9212" w:type="dxa"/>
          </w:tcPr>
          <w:p w14:paraId="2FCAAE14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Welche DRG(s) ist/sind am häufigsten von dieser Methode betroffen?</w:t>
            </w:r>
          </w:p>
        </w:tc>
      </w:tr>
      <w:tr w:rsidR="008E6675" w:rsidRPr="005638EB" w14:paraId="56F9F66E" w14:textId="77777777">
        <w:tc>
          <w:tcPr>
            <w:tcW w:w="9212" w:type="dxa"/>
          </w:tcPr>
          <w:p w14:paraId="3FDE8751" w14:textId="4D3DD2CD" w:rsidR="008E6675" w:rsidRPr="00A100DC" w:rsidRDefault="008E6675" w:rsidP="005638EB">
            <w:pPr>
              <w:rPr>
                <w:rFonts w:ascii="Arial Narrow" w:hAnsi="Arial Narrow"/>
                <w:color w:val="00B050"/>
                <w:sz w:val="22"/>
              </w:rPr>
            </w:pPr>
          </w:p>
        </w:tc>
      </w:tr>
    </w:tbl>
    <w:p w14:paraId="4E6FC927" w14:textId="77777777" w:rsidR="008E6675" w:rsidRPr="005638EB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8E6675" w:rsidRPr="005638EB" w14:paraId="4E9DF4AB" w14:textId="77777777">
        <w:tc>
          <w:tcPr>
            <w:tcW w:w="9212" w:type="dxa"/>
          </w:tcPr>
          <w:p w14:paraId="3184CC4A" w14:textId="77777777" w:rsidR="008E6675" w:rsidRPr="005638EB" w:rsidRDefault="008E6675" w:rsidP="005638EB">
            <w:pPr>
              <w:rPr>
                <w:rFonts w:ascii="Arial Narrow" w:hAnsi="Arial Narrow"/>
              </w:rPr>
            </w:pPr>
            <w:r w:rsidRPr="008C1686">
              <w:rPr>
                <w:rFonts w:ascii="Arial Narrow" w:hAnsi="Arial Narrow"/>
                <w:b/>
                <w:sz w:val="22"/>
              </w:rPr>
              <w:t>Warum ist diese Methode aus Ihrer Sicht derzeit im G-DRG-System nicht sachgerecht abgebildet?</w:t>
            </w:r>
          </w:p>
        </w:tc>
      </w:tr>
      <w:tr w:rsidR="008E6675" w:rsidRPr="00ED4386" w14:paraId="3100E4A7" w14:textId="77777777">
        <w:tc>
          <w:tcPr>
            <w:tcW w:w="9212" w:type="dxa"/>
          </w:tcPr>
          <w:p w14:paraId="0101B7BF" w14:textId="76CA6C87" w:rsidR="006549F4" w:rsidRPr="00ED4386" w:rsidRDefault="007D00EB" w:rsidP="006549F4">
            <w:pPr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Etranacogen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814B90">
              <w:rPr>
                <w:rFonts w:ascii="Arial Narrow" w:hAnsi="Arial Narrow"/>
                <w:sz w:val="22"/>
              </w:rPr>
              <w:t>d</w:t>
            </w:r>
            <w:r>
              <w:rPr>
                <w:rFonts w:ascii="Arial Narrow" w:hAnsi="Arial Narrow"/>
                <w:sz w:val="22"/>
              </w:rPr>
              <w:t>ezaparvovec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22"/>
              </w:rPr>
              <w:t>Hemgenix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®) </w:t>
            </w:r>
            <w:r w:rsidR="009300FF" w:rsidRPr="00ED4386">
              <w:rPr>
                <w:rFonts w:ascii="Arial Narrow" w:hAnsi="Arial Narrow"/>
                <w:sz w:val="22"/>
              </w:rPr>
              <w:t xml:space="preserve">wurde im </w:t>
            </w:r>
            <w:r w:rsidR="009300FF" w:rsidRPr="00E32E97">
              <w:rPr>
                <w:rFonts w:ascii="Arial Narrow" w:hAnsi="Arial Narrow"/>
                <w:sz w:val="22"/>
              </w:rPr>
              <w:t>Jahr 2023</w:t>
            </w:r>
            <w:r w:rsidR="00E32E97">
              <w:rPr>
                <w:rFonts w:ascii="Arial Narrow" w:hAnsi="Arial Narrow"/>
                <w:sz w:val="22"/>
              </w:rPr>
              <w:t xml:space="preserve"> zugelassen</w:t>
            </w:r>
            <w:r w:rsidR="009300FF" w:rsidRPr="00ED4386">
              <w:rPr>
                <w:rFonts w:ascii="Arial Narrow" w:hAnsi="Arial Narrow"/>
                <w:sz w:val="22"/>
              </w:rPr>
              <w:t xml:space="preserve"> </w:t>
            </w:r>
            <w:r w:rsidR="006549F4" w:rsidRPr="00ED4386">
              <w:rPr>
                <w:rFonts w:ascii="Arial Narrow" w:hAnsi="Arial Narrow"/>
                <w:sz w:val="22"/>
              </w:rPr>
              <w:t xml:space="preserve">und ist </w:t>
            </w:r>
            <w:r w:rsidR="00E32E97">
              <w:rPr>
                <w:rFonts w:ascii="Arial Narrow" w:hAnsi="Arial Narrow"/>
                <w:sz w:val="22"/>
              </w:rPr>
              <w:t xml:space="preserve">ebenfalls </w:t>
            </w:r>
            <w:r w:rsidR="006549F4" w:rsidRPr="00ED4386">
              <w:rPr>
                <w:rFonts w:ascii="Arial Narrow" w:hAnsi="Arial Narrow"/>
                <w:sz w:val="22"/>
              </w:rPr>
              <w:t xml:space="preserve">seit dem Jahr </w:t>
            </w:r>
            <w:r w:rsidR="00E32E97">
              <w:rPr>
                <w:rFonts w:ascii="Arial Narrow" w:hAnsi="Arial Narrow"/>
                <w:sz w:val="22"/>
              </w:rPr>
              <w:t>2023</w:t>
            </w:r>
            <w:r w:rsidR="006549F4" w:rsidRPr="00ED4386">
              <w:rPr>
                <w:rFonts w:ascii="Arial Narrow" w:hAnsi="Arial Narrow"/>
                <w:sz w:val="22"/>
              </w:rPr>
              <w:t xml:space="preserve"> in Deutschland auf dem Markt. </w:t>
            </w:r>
          </w:p>
          <w:p w14:paraId="39F2DE59" w14:textId="6ED8E5F2" w:rsidR="006549F4" w:rsidRPr="00ED4386" w:rsidRDefault="001774E7" w:rsidP="006549F4">
            <w:pPr>
              <w:rPr>
                <w:rFonts w:ascii="Arial Narrow" w:hAnsi="Arial Narrow"/>
                <w:sz w:val="22"/>
              </w:rPr>
            </w:pPr>
            <w:r w:rsidRPr="00ED4386">
              <w:rPr>
                <w:rFonts w:ascii="Arial Narrow" w:hAnsi="Arial Narrow"/>
                <w:sz w:val="22"/>
              </w:rPr>
              <w:t>Für das Datenjahr 202</w:t>
            </w:r>
            <w:r w:rsidR="004736E4">
              <w:rPr>
                <w:rFonts w:ascii="Arial Narrow" w:hAnsi="Arial Narrow"/>
                <w:sz w:val="22"/>
              </w:rPr>
              <w:t>3</w:t>
            </w:r>
            <w:r w:rsidR="006549F4" w:rsidRPr="00ED4386">
              <w:rPr>
                <w:rFonts w:ascii="Arial Narrow" w:hAnsi="Arial Narrow"/>
                <w:sz w:val="22"/>
              </w:rPr>
              <w:t xml:space="preserve"> könnten aus den Kalkulationshäusern erste Kostendaten für den Einsatz vorliegen, sehr wahrscheinlich aber nicht in ausreichendem Um</w:t>
            </w:r>
            <w:r w:rsidR="00317F90">
              <w:rPr>
                <w:rFonts w:ascii="Arial Narrow" w:hAnsi="Arial Narrow"/>
                <w:sz w:val="22"/>
              </w:rPr>
              <w:t>f</w:t>
            </w:r>
            <w:r w:rsidR="006549F4" w:rsidRPr="00ED4386">
              <w:rPr>
                <w:rFonts w:ascii="Arial Narrow" w:hAnsi="Arial Narrow"/>
                <w:sz w:val="22"/>
              </w:rPr>
              <w:t>ang, um eine sachgerechte Abbildung im G-DRG System 20</w:t>
            </w:r>
            <w:r w:rsidRPr="00ED4386">
              <w:rPr>
                <w:rFonts w:ascii="Arial Narrow" w:hAnsi="Arial Narrow"/>
                <w:sz w:val="22"/>
              </w:rPr>
              <w:t>2</w:t>
            </w:r>
            <w:r w:rsidR="004736E4">
              <w:rPr>
                <w:rFonts w:ascii="Arial Narrow" w:hAnsi="Arial Narrow"/>
                <w:sz w:val="22"/>
              </w:rPr>
              <w:t>5</w:t>
            </w:r>
            <w:r w:rsidR="006549F4" w:rsidRPr="00ED4386">
              <w:rPr>
                <w:rFonts w:ascii="Arial Narrow" w:hAnsi="Arial Narrow"/>
                <w:sz w:val="22"/>
              </w:rPr>
              <w:t xml:space="preserve"> zu ermöglichen.</w:t>
            </w:r>
          </w:p>
          <w:p w14:paraId="3548CC82" w14:textId="5EAF36E2" w:rsidR="006549F4" w:rsidRPr="00ED4386" w:rsidRDefault="006549F4" w:rsidP="006549F4">
            <w:pPr>
              <w:rPr>
                <w:rFonts w:ascii="Arial Narrow" w:hAnsi="Arial Narrow"/>
                <w:sz w:val="22"/>
              </w:rPr>
            </w:pPr>
            <w:r w:rsidRPr="00ED4386">
              <w:rPr>
                <w:rFonts w:ascii="Arial Narrow" w:hAnsi="Arial Narrow"/>
                <w:sz w:val="22"/>
              </w:rPr>
              <w:lastRenderedPageBreak/>
              <w:t>Die zusätzlichen Kosten von ca</w:t>
            </w:r>
            <w:r w:rsidRPr="00E04CD3">
              <w:rPr>
                <w:rFonts w:ascii="Arial Narrow" w:hAnsi="Arial Narrow"/>
                <w:sz w:val="22"/>
              </w:rPr>
              <w:t xml:space="preserve">. </w:t>
            </w:r>
            <w:r w:rsidR="0089740D" w:rsidRPr="00E04CD3">
              <w:rPr>
                <w:rFonts w:ascii="Arial Narrow" w:hAnsi="Arial Narrow"/>
                <w:sz w:val="22"/>
              </w:rPr>
              <w:t>2.482.100,16 €</w:t>
            </w:r>
            <w:r w:rsidRPr="00ED4386">
              <w:rPr>
                <w:rFonts w:ascii="Arial Narrow" w:hAnsi="Arial Narrow"/>
                <w:sz w:val="22"/>
              </w:rPr>
              <w:t xml:space="preserve"> pro Applikation können aber mit der</w:t>
            </w:r>
            <w:r w:rsidR="00A100DC" w:rsidRPr="00ED4386">
              <w:rPr>
                <w:rFonts w:ascii="Arial Narrow" w:hAnsi="Arial Narrow"/>
                <w:sz w:val="22"/>
              </w:rPr>
              <w:t>/den o.g.</w:t>
            </w:r>
            <w:r w:rsidRPr="00ED4386">
              <w:rPr>
                <w:rFonts w:ascii="Arial Narrow" w:hAnsi="Arial Narrow"/>
                <w:sz w:val="22"/>
              </w:rPr>
              <w:t xml:space="preserve"> Fallpauschale</w:t>
            </w:r>
            <w:r w:rsidR="00A100DC" w:rsidRPr="00ED4386">
              <w:rPr>
                <w:rFonts w:ascii="Arial Narrow" w:hAnsi="Arial Narrow"/>
                <w:sz w:val="22"/>
              </w:rPr>
              <w:t>(n)</w:t>
            </w:r>
            <w:r w:rsidRPr="00ED4386">
              <w:rPr>
                <w:rFonts w:ascii="Arial Narrow" w:hAnsi="Arial Narrow"/>
                <w:sz w:val="22"/>
              </w:rPr>
              <w:t xml:space="preserve"> allein nicht ausreichend abgebildet werden und </w:t>
            </w:r>
            <w:proofErr w:type="spellStart"/>
            <w:r w:rsidR="004F58DA" w:rsidRPr="004F58DA">
              <w:rPr>
                <w:rFonts w:ascii="Arial Narrow" w:hAnsi="Arial Narrow"/>
                <w:sz w:val="22"/>
              </w:rPr>
              <w:t>Etranacogen</w:t>
            </w:r>
            <w:proofErr w:type="spellEnd"/>
            <w:r w:rsidR="004F58DA" w:rsidRPr="004F58DA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="004F58DA" w:rsidRPr="004F58DA">
              <w:rPr>
                <w:rFonts w:ascii="Arial Narrow" w:hAnsi="Arial Narrow"/>
                <w:sz w:val="22"/>
              </w:rPr>
              <w:t>Dezaparvovec</w:t>
            </w:r>
            <w:proofErr w:type="spellEnd"/>
            <w:r w:rsidR="004F58DA" w:rsidRPr="004F58DA">
              <w:rPr>
                <w:rFonts w:ascii="Arial Narrow" w:hAnsi="Arial Narrow"/>
                <w:sz w:val="22"/>
              </w:rPr>
              <w:t xml:space="preserve"> </w:t>
            </w:r>
            <w:r w:rsidRPr="00ED4386">
              <w:rPr>
                <w:rFonts w:ascii="Arial Narrow" w:hAnsi="Arial Narrow"/>
                <w:sz w:val="22"/>
              </w:rPr>
              <w:t xml:space="preserve">ist bisher im Katalog </w:t>
            </w:r>
            <w:r w:rsidR="002A4953">
              <w:rPr>
                <w:rFonts w:ascii="Arial Narrow" w:hAnsi="Arial Narrow"/>
                <w:sz w:val="22"/>
              </w:rPr>
              <w:t>der Zusatzentgelte</w:t>
            </w:r>
            <w:r w:rsidRPr="00ED4386">
              <w:rPr>
                <w:rFonts w:ascii="Arial Narrow" w:hAnsi="Arial Narrow"/>
                <w:sz w:val="22"/>
              </w:rPr>
              <w:t xml:space="preserve"> nicht enthalten. </w:t>
            </w:r>
          </w:p>
          <w:p w14:paraId="44DA63CE" w14:textId="777DC60F" w:rsidR="006549F4" w:rsidRPr="00ED4386" w:rsidRDefault="006549F4" w:rsidP="006549F4">
            <w:pPr>
              <w:rPr>
                <w:rFonts w:ascii="Arial Narrow" w:hAnsi="Arial Narrow"/>
                <w:sz w:val="22"/>
              </w:rPr>
            </w:pPr>
            <w:r w:rsidRPr="00ED4386">
              <w:rPr>
                <w:rFonts w:ascii="Arial Narrow" w:hAnsi="Arial Narrow"/>
                <w:sz w:val="22"/>
              </w:rPr>
              <w:t xml:space="preserve">Aufgrund der hohen Kosten des Medikaments kommt es zu einer </w:t>
            </w:r>
            <w:r w:rsidR="00CB3CA3" w:rsidRPr="00ED4386">
              <w:rPr>
                <w:rFonts w:ascii="Arial Narrow" w:hAnsi="Arial Narrow"/>
                <w:sz w:val="22"/>
              </w:rPr>
              <w:t>Unterfinanzierung</w:t>
            </w:r>
            <w:r w:rsidRPr="00ED4386">
              <w:rPr>
                <w:rFonts w:ascii="Arial Narrow" w:hAnsi="Arial Narrow"/>
                <w:sz w:val="22"/>
              </w:rPr>
              <w:t xml:space="preserve"> in </w:t>
            </w:r>
            <w:r w:rsidR="00620855" w:rsidRPr="00ED4386">
              <w:rPr>
                <w:rFonts w:ascii="Arial Narrow" w:hAnsi="Arial Narrow"/>
                <w:sz w:val="22"/>
              </w:rPr>
              <w:t xml:space="preserve">den </w:t>
            </w:r>
            <w:r w:rsidR="00620855" w:rsidRPr="00620855">
              <w:rPr>
                <w:rFonts w:ascii="Arial Narrow" w:hAnsi="Arial Narrow"/>
                <w:sz w:val="22"/>
              </w:rPr>
              <w:t xml:space="preserve">entsprechenden Fällen </w:t>
            </w:r>
            <w:r w:rsidRPr="00ED4386">
              <w:rPr>
                <w:rFonts w:ascii="Arial Narrow" w:hAnsi="Arial Narrow"/>
                <w:sz w:val="22"/>
              </w:rPr>
              <w:t>der betroffenen DRG</w:t>
            </w:r>
            <w:r w:rsidR="00620855">
              <w:rPr>
                <w:rFonts w:ascii="Arial Narrow" w:hAnsi="Arial Narrow"/>
                <w:sz w:val="22"/>
              </w:rPr>
              <w:t>(s)</w:t>
            </w:r>
            <w:r w:rsidRPr="00ED4386">
              <w:rPr>
                <w:rFonts w:ascii="Arial Narrow" w:hAnsi="Arial Narrow"/>
                <w:sz w:val="22"/>
              </w:rPr>
              <w:t>.</w:t>
            </w:r>
          </w:p>
          <w:p w14:paraId="0933A1BE" w14:textId="77777777" w:rsidR="006549F4" w:rsidRPr="00ED4386" w:rsidRDefault="006549F4" w:rsidP="006549F4">
            <w:pPr>
              <w:rPr>
                <w:rFonts w:ascii="Arial Narrow" w:hAnsi="Arial Narrow"/>
                <w:sz w:val="22"/>
              </w:rPr>
            </w:pPr>
          </w:p>
          <w:p w14:paraId="222643B9" w14:textId="22674916" w:rsidR="008E6675" w:rsidRPr="00ED4386" w:rsidRDefault="007D00EB" w:rsidP="0004094A">
            <w:pPr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Etranacogen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</w:rPr>
              <w:t>Dezaparvovec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22"/>
              </w:rPr>
              <w:t>Hemgenix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®) </w:t>
            </w:r>
            <w:r w:rsidR="001774E7" w:rsidRPr="00ED4386">
              <w:rPr>
                <w:rFonts w:ascii="Arial Narrow" w:hAnsi="Arial Narrow"/>
                <w:sz w:val="22"/>
              </w:rPr>
              <w:t xml:space="preserve">hat </w:t>
            </w:r>
            <w:r w:rsidR="001C525B">
              <w:rPr>
                <w:rFonts w:ascii="Arial Narrow" w:hAnsi="Arial Narrow"/>
                <w:sz w:val="22"/>
              </w:rPr>
              <w:t>im allgemeinen NUB-An</w:t>
            </w:r>
            <w:r w:rsidR="00CB43D3">
              <w:rPr>
                <w:rFonts w:ascii="Arial Narrow" w:hAnsi="Arial Narrow"/>
                <w:sz w:val="22"/>
              </w:rPr>
              <w:t>frage</w:t>
            </w:r>
            <w:r w:rsidR="001C525B">
              <w:rPr>
                <w:rFonts w:ascii="Arial Narrow" w:hAnsi="Arial Narrow"/>
                <w:sz w:val="22"/>
              </w:rPr>
              <w:t xml:space="preserve">verfahren </w:t>
            </w:r>
            <w:r w:rsidR="001774E7" w:rsidRPr="00ED4386">
              <w:rPr>
                <w:rFonts w:ascii="Arial Narrow" w:hAnsi="Arial Narrow"/>
                <w:sz w:val="22"/>
              </w:rPr>
              <w:t>für 202</w:t>
            </w:r>
            <w:r w:rsidR="001C525B">
              <w:rPr>
                <w:rFonts w:ascii="Arial Narrow" w:hAnsi="Arial Narrow"/>
                <w:sz w:val="22"/>
              </w:rPr>
              <w:t>5</w:t>
            </w:r>
            <w:r w:rsidR="001774E7" w:rsidRPr="00ED4386">
              <w:rPr>
                <w:rFonts w:ascii="Arial Narrow" w:hAnsi="Arial Narrow"/>
                <w:sz w:val="22"/>
              </w:rPr>
              <w:t xml:space="preserve"> </w:t>
            </w:r>
            <w:r w:rsidR="001C525B" w:rsidRPr="00ED4386">
              <w:rPr>
                <w:rFonts w:ascii="Arial Narrow" w:hAnsi="Arial Narrow"/>
                <w:sz w:val="22"/>
              </w:rPr>
              <w:t xml:space="preserve">bereits </w:t>
            </w:r>
            <w:r w:rsidR="001774E7" w:rsidRPr="00ED4386">
              <w:rPr>
                <w:rFonts w:ascii="Arial Narrow" w:hAnsi="Arial Narrow"/>
                <w:sz w:val="22"/>
              </w:rPr>
              <w:t>den Status 1</w:t>
            </w:r>
            <w:r w:rsidR="001C525B">
              <w:rPr>
                <w:rFonts w:ascii="Arial Narrow" w:hAnsi="Arial Narrow"/>
                <w:sz w:val="22"/>
              </w:rPr>
              <w:t xml:space="preserve"> erhalten</w:t>
            </w:r>
            <w:r w:rsidR="001C2C59">
              <w:rPr>
                <w:rFonts w:ascii="Arial Narrow" w:hAnsi="Arial Narrow"/>
                <w:sz w:val="22"/>
              </w:rPr>
              <w:t xml:space="preserve"> (lfd. Nr. 274)</w:t>
            </w:r>
            <w:r w:rsidR="001774E7" w:rsidRPr="00ED4386">
              <w:rPr>
                <w:rFonts w:ascii="Arial Narrow" w:hAnsi="Arial Narrow"/>
                <w:sz w:val="22"/>
              </w:rPr>
              <w:t>.</w:t>
            </w:r>
          </w:p>
        </w:tc>
      </w:tr>
    </w:tbl>
    <w:p w14:paraId="0A50A959" w14:textId="77777777" w:rsidR="008E6675" w:rsidRDefault="008E6675" w:rsidP="005638EB">
      <w:pPr>
        <w:rPr>
          <w:rFonts w:ascii="Arial Narrow" w:hAnsi="Arial Narrow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DA2774" w:rsidRPr="005638EB" w14:paraId="0137BD6F" w14:textId="77777777">
        <w:tc>
          <w:tcPr>
            <w:tcW w:w="9212" w:type="dxa"/>
          </w:tcPr>
          <w:p w14:paraId="3BF35604" w14:textId="7CE0F093" w:rsidR="00DA2774" w:rsidRPr="005638EB" w:rsidRDefault="00175BCC" w:rsidP="00243621">
            <w:pPr>
              <w:rPr>
                <w:rFonts w:ascii="Arial Narrow" w:hAnsi="Arial Narrow"/>
              </w:rPr>
            </w:pPr>
            <w:r w:rsidRPr="00175BCC">
              <w:rPr>
                <w:rFonts w:ascii="Arial Narrow" w:hAnsi="Arial Narrow"/>
                <w:b/>
                <w:sz w:val="22"/>
              </w:rPr>
              <w:t>Die angefragte Untersuchungs- und Behandlungsmethode umfasst die Gabe von Arzneimitteln für neuartige Therapien im Sinne von § 4 Abs. 9 des Arzneimittelgesetzes</w:t>
            </w:r>
          </w:p>
        </w:tc>
      </w:tr>
      <w:tr w:rsidR="00DA2774" w:rsidRPr="005638EB" w14:paraId="6EF7220C" w14:textId="77777777">
        <w:tc>
          <w:tcPr>
            <w:tcW w:w="9212" w:type="dxa"/>
          </w:tcPr>
          <w:p w14:paraId="526B06F7" w14:textId="310373D2" w:rsidR="00DA2774" w:rsidRPr="00A100DC" w:rsidRDefault="00175BCC" w:rsidP="00243621">
            <w:pPr>
              <w:rPr>
                <w:rFonts w:ascii="Arial Narrow" w:hAnsi="Arial Narrow"/>
                <w:color w:val="00B050"/>
                <w:sz w:val="22"/>
              </w:rPr>
            </w:pPr>
            <w:r w:rsidRPr="008B7669">
              <w:rPr>
                <w:rFonts w:ascii="Arial Narrow" w:hAnsi="Arial Narrow"/>
                <w:sz w:val="22"/>
              </w:rPr>
              <w:t>[</w:t>
            </w:r>
            <w:r>
              <w:rPr>
                <w:rFonts w:ascii="Arial Narrow" w:hAnsi="Arial Narrow"/>
                <w:sz w:val="22"/>
                <w:highlight w:val="yellow"/>
              </w:rPr>
              <w:t>ja</w:t>
            </w:r>
            <w:r w:rsidRPr="0036178C">
              <w:rPr>
                <w:rFonts w:ascii="Arial Narrow" w:hAnsi="Arial Narrow"/>
                <w:sz w:val="22"/>
                <w:highlight w:val="yellow"/>
              </w:rPr>
              <w:t xml:space="preserve"> ankreuzen</w:t>
            </w:r>
            <w:r w:rsidRPr="008B7669">
              <w:rPr>
                <w:rFonts w:ascii="Arial Narrow" w:hAnsi="Arial Narrow"/>
                <w:sz w:val="22"/>
              </w:rPr>
              <w:t>]</w:t>
            </w:r>
          </w:p>
        </w:tc>
      </w:tr>
    </w:tbl>
    <w:p w14:paraId="69BABD0C" w14:textId="77777777" w:rsidR="00DA2774" w:rsidRDefault="00DA2774" w:rsidP="005638EB">
      <w:pPr>
        <w:rPr>
          <w:rFonts w:ascii="Arial Narrow" w:hAnsi="Arial Narrow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175BCC" w:rsidRPr="005638EB" w14:paraId="246F2BA1" w14:textId="77777777" w:rsidTr="00243621">
        <w:tc>
          <w:tcPr>
            <w:tcW w:w="9212" w:type="dxa"/>
          </w:tcPr>
          <w:p w14:paraId="343305B8" w14:textId="7785D129" w:rsidR="00175BCC" w:rsidRPr="00175BCC" w:rsidRDefault="00175BCC" w:rsidP="00243621">
            <w:pPr>
              <w:rPr>
                <w:rFonts w:ascii="Arial Narrow" w:hAnsi="Arial Narrow"/>
                <w:b/>
                <w:sz w:val="22"/>
              </w:rPr>
            </w:pPr>
            <w:r w:rsidRPr="00175BCC">
              <w:rPr>
                <w:rFonts w:ascii="Arial Narrow" w:hAnsi="Arial Narrow"/>
                <w:b/>
                <w:sz w:val="22"/>
              </w:rPr>
              <w:t>Meine Einschätzung beruht auf folgenden Angaben (z.B. Veröffentlichung PEI, EMA, Informationen des pharmazeutischen Unternehmers, etc.)</w:t>
            </w:r>
          </w:p>
        </w:tc>
      </w:tr>
      <w:tr w:rsidR="00175BCC" w:rsidRPr="005638EB" w14:paraId="31FD7EA1" w14:textId="77777777" w:rsidTr="00243621">
        <w:tc>
          <w:tcPr>
            <w:tcW w:w="9212" w:type="dxa"/>
          </w:tcPr>
          <w:p w14:paraId="57E9736A" w14:textId="47E5957B" w:rsidR="002B1A10" w:rsidRPr="002B1A10" w:rsidRDefault="00A50942" w:rsidP="00243621">
            <w:pPr>
              <w:rPr>
                <w:rFonts w:ascii="Arial Narrow" w:hAnsi="Arial Narrow"/>
                <w:color w:val="000000" w:themeColor="text1"/>
                <w:sz w:val="22"/>
              </w:rPr>
            </w:pPr>
            <w:r w:rsidRPr="00A50942">
              <w:rPr>
                <w:rFonts w:ascii="Arial Narrow" w:hAnsi="Arial Narrow"/>
                <w:color w:val="000000" w:themeColor="text1"/>
                <w:sz w:val="22"/>
              </w:rPr>
              <w:t>Anlage IV der Richtlinie zu Anforderungen an die Qualität der Anwendung von Arzneimitteln für neuartige Therapien gemäß § 136a Absatz 5 SGB V (ATMP-Qualitätssicherungs-Richtlinie/ATMP-QS-RL) Gentherapeutika bei Hämophilie</w:t>
            </w:r>
            <w:r>
              <w:rPr>
                <w:rFonts w:ascii="Arial Narrow" w:hAnsi="Arial Narrow"/>
                <w:color w:val="000000" w:themeColor="text1"/>
                <w:sz w:val="22"/>
              </w:rPr>
              <w:t xml:space="preserve"> (G-BA, Stand</w:t>
            </w:r>
            <w:r w:rsidR="00C9351A">
              <w:rPr>
                <w:rFonts w:ascii="Arial Narrow" w:hAnsi="Arial Narrow"/>
                <w:color w:val="000000" w:themeColor="text1"/>
                <w:sz w:val="22"/>
              </w:rPr>
              <w:t xml:space="preserve"> 01.01.2025), zu finden unter</w:t>
            </w:r>
            <w:r w:rsidR="002B1A10">
              <w:rPr>
                <w:rFonts w:ascii="Arial Narrow" w:hAnsi="Arial Narrow"/>
                <w:color w:val="000000" w:themeColor="text1"/>
                <w:sz w:val="22"/>
              </w:rPr>
              <w:t xml:space="preserve"> </w:t>
            </w:r>
            <w:hyperlink r:id="rId10" w:history="1">
              <w:r w:rsidR="002B1A10" w:rsidRPr="00854388">
                <w:rPr>
                  <w:rStyle w:val="Hyperlink"/>
                  <w:rFonts w:ascii="Arial Narrow" w:hAnsi="Arial Narrow"/>
                  <w:sz w:val="22"/>
                </w:rPr>
                <w:t>https://www.g-ba.de/richtlinien/122/</w:t>
              </w:r>
            </w:hyperlink>
          </w:p>
        </w:tc>
      </w:tr>
    </w:tbl>
    <w:p w14:paraId="678A001B" w14:textId="77777777" w:rsidR="00175BCC" w:rsidRPr="005638EB" w:rsidRDefault="00175BCC" w:rsidP="005638EB">
      <w:pPr>
        <w:rPr>
          <w:rFonts w:ascii="Arial Narrow" w:hAnsi="Arial Narrow"/>
        </w:rPr>
      </w:pPr>
    </w:p>
    <w:sectPr w:rsidR="00175BCC" w:rsidRPr="005638EB" w:rsidSect="004E1D02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62529" w14:textId="77777777" w:rsidR="008028DE" w:rsidRDefault="008028DE">
      <w:r>
        <w:separator/>
      </w:r>
    </w:p>
  </w:endnote>
  <w:endnote w:type="continuationSeparator" w:id="0">
    <w:p w14:paraId="1F3CA0A3" w14:textId="77777777" w:rsidR="008028DE" w:rsidRDefault="008028DE">
      <w:r>
        <w:continuationSeparator/>
      </w:r>
    </w:p>
  </w:endnote>
  <w:endnote w:type="continuationNotice" w:id="1">
    <w:p w14:paraId="24094D5F" w14:textId="77777777" w:rsidR="008028DE" w:rsidRDefault="008028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76D3D" w14:textId="0BB6FFDF" w:rsidR="00F64982" w:rsidRPr="00435583" w:rsidRDefault="00F64982" w:rsidP="00435583">
    <w:pPr>
      <w:pStyle w:val="Fuzeile"/>
      <w:rPr>
        <w:rFonts w:ascii="Arial Narrow" w:hAnsi="Arial Narrow"/>
        <w:sz w:val="20"/>
        <w:szCs w:val="20"/>
      </w:rPr>
    </w:pPr>
    <w:r w:rsidRPr="00435583">
      <w:rPr>
        <w:rFonts w:ascii="Arial Narrow" w:hAnsi="Arial Narrow"/>
        <w:sz w:val="20"/>
        <w:szCs w:val="20"/>
      </w:rPr>
      <w:t xml:space="preserve">NUB-Musteranfrage </w:t>
    </w:r>
    <w:proofErr w:type="spellStart"/>
    <w:r w:rsidR="006A3645" w:rsidRPr="006A3645">
      <w:rPr>
        <w:rFonts w:ascii="Arial Narrow" w:hAnsi="Arial Narrow"/>
        <w:sz w:val="20"/>
        <w:szCs w:val="20"/>
      </w:rPr>
      <w:t>Etranacogen</w:t>
    </w:r>
    <w:proofErr w:type="spellEnd"/>
    <w:r w:rsidR="006A3645" w:rsidRPr="006A3645">
      <w:rPr>
        <w:rFonts w:ascii="Arial Narrow" w:hAnsi="Arial Narrow"/>
        <w:sz w:val="20"/>
        <w:szCs w:val="20"/>
      </w:rPr>
      <w:t xml:space="preserve"> </w:t>
    </w:r>
    <w:proofErr w:type="spellStart"/>
    <w:r w:rsidR="006A3645" w:rsidRPr="006A3645">
      <w:rPr>
        <w:rFonts w:ascii="Arial Narrow" w:hAnsi="Arial Narrow"/>
        <w:sz w:val="20"/>
        <w:szCs w:val="20"/>
      </w:rPr>
      <w:t>Dezaparvovec</w:t>
    </w:r>
    <w:proofErr w:type="spellEnd"/>
  </w:p>
  <w:p w14:paraId="463B5D71" w14:textId="6B6DD8AF" w:rsidR="00F64982" w:rsidRPr="005F5DF9" w:rsidRDefault="005F5DF9" w:rsidP="00435583">
    <w:pPr>
      <w:pStyle w:val="Fuzeile"/>
      <w:rPr>
        <w:rFonts w:ascii="Arial Narrow" w:hAnsi="Arial Narrow"/>
        <w:sz w:val="20"/>
        <w:szCs w:val="20"/>
      </w:rPr>
    </w:pPr>
    <w:r w:rsidRPr="005F5DF9">
      <w:rPr>
        <w:rFonts w:ascii="Arial Narrow" w:hAnsi="Arial Narrow"/>
        <w:sz w:val="20"/>
        <w:szCs w:val="20"/>
      </w:rPr>
      <w:t xml:space="preserve">Seite </w:t>
    </w:r>
    <w:r w:rsidRPr="005F5DF9">
      <w:rPr>
        <w:rFonts w:ascii="Arial Narrow" w:hAnsi="Arial Narrow"/>
        <w:sz w:val="20"/>
        <w:szCs w:val="20"/>
      </w:rPr>
      <w:fldChar w:fldCharType="begin"/>
    </w:r>
    <w:r w:rsidRPr="005F5DF9">
      <w:rPr>
        <w:rFonts w:ascii="Arial Narrow" w:hAnsi="Arial Narrow"/>
        <w:sz w:val="20"/>
        <w:szCs w:val="20"/>
      </w:rPr>
      <w:instrText>PAGE  \* Arabic  \* MERGEFORMAT</w:instrText>
    </w:r>
    <w:r w:rsidRPr="005F5DF9">
      <w:rPr>
        <w:rFonts w:ascii="Arial Narrow" w:hAnsi="Arial Narrow"/>
        <w:sz w:val="20"/>
        <w:szCs w:val="20"/>
      </w:rPr>
      <w:fldChar w:fldCharType="separate"/>
    </w:r>
    <w:r w:rsidRPr="005F5DF9">
      <w:rPr>
        <w:rFonts w:ascii="Arial Narrow" w:hAnsi="Arial Narrow"/>
        <w:sz w:val="20"/>
        <w:szCs w:val="20"/>
      </w:rPr>
      <w:t>1</w:t>
    </w:r>
    <w:r w:rsidRPr="005F5DF9">
      <w:rPr>
        <w:rFonts w:ascii="Arial Narrow" w:hAnsi="Arial Narrow"/>
        <w:sz w:val="20"/>
        <w:szCs w:val="20"/>
      </w:rPr>
      <w:fldChar w:fldCharType="end"/>
    </w:r>
    <w:r w:rsidRPr="005F5DF9">
      <w:rPr>
        <w:rFonts w:ascii="Arial Narrow" w:hAnsi="Arial Narrow"/>
        <w:sz w:val="20"/>
        <w:szCs w:val="20"/>
      </w:rPr>
      <w:t xml:space="preserve"> von </w:t>
    </w:r>
    <w:r w:rsidRPr="005F5DF9">
      <w:rPr>
        <w:rFonts w:ascii="Arial Narrow" w:hAnsi="Arial Narrow"/>
        <w:sz w:val="20"/>
        <w:szCs w:val="20"/>
      </w:rPr>
      <w:fldChar w:fldCharType="begin"/>
    </w:r>
    <w:r w:rsidRPr="005F5DF9">
      <w:rPr>
        <w:rFonts w:ascii="Arial Narrow" w:hAnsi="Arial Narrow"/>
        <w:sz w:val="20"/>
        <w:szCs w:val="20"/>
      </w:rPr>
      <w:instrText>NUMPAGES  \* Arabic  \* MERGEFORMAT</w:instrText>
    </w:r>
    <w:r w:rsidRPr="005F5DF9">
      <w:rPr>
        <w:rFonts w:ascii="Arial Narrow" w:hAnsi="Arial Narrow"/>
        <w:sz w:val="20"/>
        <w:szCs w:val="20"/>
      </w:rPr>
      <w:fldChar w:fldCharType="separate"/>
    </w:r>
    <w:r w:rsidRPr="005F5DF9">
      <w:rPr>
        <w:rFonts w:ascii="Arial Narrow" w:hAnsi="Arial Narrow"/>
        <w:sz w:val="20"/>
        <w:szCs w:val="20"/>
      </w:rPr>
      <w:t>2</w:t>
    </w:r>
    <w:r w:rsidRPr="005F5DF9">
      <w:rPr>
        <w:rFonts w:ascii="Arial Narrow" w:hAnsi="Arial Narrow"/>
        <w:sz w:val="20"/>
        <w:szCs w:val="20"/>
      </w:rPr>
      <w:fldChar w:fldCharType="end"/>
    </w:r>
  </w:p>
  <w:p w14:paraId="6E7C81DA" w14:textId="22E19A23" w:rsidR="00F64982" w:rsidRPr="00435583" w:rsidRDefault="00F64982" w:rsidP="00435583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36F12" w14:textId="77777777" w:rsidR="008028DE" w:rsidRDefault="008028DE">
      <w:r>
        <w:separator/>
      </w:r>
    </w:p>
  </w:footnote>
  <w:footnote w:type="continuationSeparator" w:id="0">
    <w:p w14:paraId="4AAC9614" w14:textId="77777777" w:rsidR="008028DE" w:rsidRDefault="008028DE">
      <w:r>
        <w:continuationSeparator/>
      </w:r>
    </w:p>
  </w:footnote>
  <w:footnote w:type="continuationNotice" w:id="1">
    <w:p w14:paraId="42D4FB20" w14:textId="77777777" w:rsidR="008028DE" w:rsidRDefault="008028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58799" w14:textId="7196860B" w:rsidR="00F64982" w:rsidRPr="004C4F82" w:rsidRDefault="00F64982" w:rsidP="00596F9A">
    <w:pPr>
      <w:pStyle w:val="Titel"/>
      <w:rPr>
        <w:sz w:val="48"/>
      </w:rPr>
    </w:pPr>
    <w:proofErr w:type="gramStart"/>
    <w:r w:rsidRPr="004C4F82">
      <w:rPr>
        <w:sz w:val="48"/>
      </w:rPr>
      <w:t>NUB Antrag</w:t>
    </w:r>
    <w:proofErr w:type="gramEnd"/>
    <w:r w:rsidRPr="004C4F82">
      <w:rPr>
        <w:sz w:val="48"/>
      </w:rPr>
      <w:t xml:space="preserve"> 20</w:t>
    </w:r>
    <w:r>
      <w:rPr>
        <w:sz w:val="48"/>
      </w:rPr>
      <w:t>2</w:t>
    </w:r>
    <w:r w:rsidR="00F1327C">
      <w:rPr>
        <w:sz w:val="48"/>
      </w:rPr>
      <w:t>4</w:t>
    </w:r>
    <w:r w:rsidRPr="004C4F82">
      <w:rPr>
        <w:sz w:val="48"/>
      </w:rPr>
      <w:t>/20</w:t>
    </w:r>
    <w:r>
      <w:rPr>
        <w:sz w:val="48"/>
      </w:rPr>
      <w:t>2</w:t>
    </w:r>
    <w:r w:rsidR="00F1327C">
      <w:rPr>
        <w:sz w:val="48"/>
      </w:rPr>
      <w:t>5</w:t>
    </w:r>
    <w:r w:rsidRPr="004C4F82">
      <w:rPr>
        <w:sz w:val="48"/>
      </w:rPr>
      <w:t xml:space="preserve"> </w:t>
    </w:r>
  </w:p>
  <w:p w14:paraId="2D6FE634" w14:textId="2AE7F617" w:rsidR="00F64982" w:rsidRPr="004C4F82" w:rsidRDefault="006A3645" w:rsidP="00596F9A">
    <w:pPr>
      <w:pStyle w:val="Titel"/>
      <w:rPr>
        <w:sz w:val="48"/>
      </w:rPr>
    </w:pPr>
    <w:proofErr w:type="spellStart"/>
    <w:r w:rsidRPr="006A3645">
      <w:rPr>
        <w:sz w:val="48"/>
      </w:rPr>
      <w:t>Etranacogen</w:t>
    </w:r>
    <w:proofErr w:type="spellEnd"/>
    <w:r w:rsidRPr="006A3645">
      <w:rPr>
        <w:sz w:val="48"/>
      </w:rPr>
      <w:t xml:space="preserve"> </w:t>
    </w:r>
    <w:proofErr w:type="spellStart"/>
    <w:r w:rsidR="00814B90">
      <w:rPr>
        <w:sz w:val="48"/>
      </w:rPr>
      <w:t>d</w:t>
    </w:r>
    <w:r w:rsidRPr="006A3645">
      <w:rPr>
        <w:sz w:val="48"/>
      </w:rPr>
      <w:t>ezaparvovec</w:t>
    </w:r>
    <w:proofErr w:type="spellEnd"/>
  </w:p>
  <w:p w14:paraId="38DF28C4" w14:textId="77777777" w:rsidR="00F64982" w:rsidRDefault="00F649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B2B83"/>
    <w:multiLevelType w:val="multilevel"/>
    <w:tmpl w:val="1D466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5C1CCB"/>
    <w:multiLevelType w:val="multilevel"/>
    <w:tmpl w:val="7D0241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F8C1304"/>
    <w:multiLevelType w:val="hybridMultilevel"/>
    <w:tmpl w:val="49187E7A"/>
    <w:lvl w:ilvl="0" w:tplc="F4DC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CA0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6E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E6B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A8A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AC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4C6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8C7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C29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81313"/>
    <w:multiLevelType w:val="hybridMultilevel"/>
    <w:tmpl w:val="7F4E33F6"/>
    <w:lvl w:ilvl="0" w:tplc="9AEE24C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81F03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DC5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0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98B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68C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1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EE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5C5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C15EE"/>
    <w:multiLevelType w:val="multilevel"/>
    <w:tmpl w:val="E720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96300F9"/>
    <w:multiLevelType w:val="hybridMultilevel"/>
    <w:tmpl w:val="D0F4BD28"/>
    <w:lvl w:ilvl="0" w:tplc="47D65AF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2"/>
      </w:rPr>
    </w:lvl>
    <w:lvl w:ilvl="1" w:tplc="3AC05F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0DA7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2783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A443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9ABF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FE61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100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2C43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C1D1057"/>
    <w:multiLevelType w:val="hybridMultilevel"/>
    <w:tmpl w:val="254E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6F25"/>
    <w:multiLevelType w:val="multilevel"/>
    <w:tmpl w:val="6F32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8" w15:restartNumberingAfterBreak="0">
    <w:nsid w:val="61FB1A21"/>
    <w:multiLevelType w:val="hybridMultilevel"/>
    <w:tmpl w:val="8BACE4F6"/>
    <w:lvl w:ilvl="0" w:tplc="921480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296C6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049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80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8E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10F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86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D2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86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297720"/>
    <w:multiLevelType w:val="hybridMultilevel"/>
    <w:tmpl w:val="D372435A"/>
    <w:lvl w:ilvl="0" w:tplc="89948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103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A2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CE2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68E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56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8F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521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EF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1243383">
    <w:abstractNumId w:val="0"/>
  </w:num>
  <w:num w:numId="2" w16cid:durableId="226962088">
    <w:abstractNumId w:val="9"/>
  </w:num>
  <w:num w:numId="3" w16cid:durableId="1748114626">
    <w:abstractNumId w:val="5"/>
  </w:num>
  <w:num w:numId="4" w16cid:durableId="1724328217">
    <w:abstractNumId w:val="3"/>
  </w:num>
  <w:num w:numId="5" w16cid:durableId="928735535">
    <w:abstractNumId w:val="8"/>
  </w:num>
  <w:num w:numId="6" w16cid:durableId="1123380489">
    <w:abstractNumId w:val="2"/>
  </w:num>
  <w:num w:numId="7" w16cid:durableId="1080523472">
    <w:abstractNumId w:val="7"/>
  </w:num>
  <w:num w:numId="8" w16cid:durableId="1568803819">
    <w:abstractNumId w:val="4"/>
  </w:num>
  <w:num w:numId="9" w16cid:durableId="76565041">
    <w:abstractNumId w:val="1"/>
  </w:num>
  <w:num w:numId="10" w16cid:durableId="1625188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E794084-83B0-4B46-BD37-262E0589DDB9}"/>
    <w:docVar w:name="dgnword-eventsink" w:val="507668536"/>
  </w:docVars>
  <w:rsids>
    <w:rsidRoot w:val="00234FB1"/>
    <w:rsid w:val="00014345"/>
    <w:rsid w:val="000153FB"/>
    <w:rsid w:val="00015BCA"/>
    <w:rsid w:val="00024651"/>
    <w:rsid w:val="00031D9C"/>
    <w:rsid w:val="00034C35"/>
    <w:rsid w:val="0003607F"/>
    <w:rsid w:val="0004094A"/>
    <w:rsid w:val="00044597"/>
    <w:rsid w:val="00065A38"/>
    <w:rsid w:val="00066A27"/>
    <w:rsid w:val="00072A33"/>
    <w:rsid w:val="000953D2"/>
    <w:rsid w:val="000A77AB"/>
    <w:rsid w:val="000B5149"/>
    <w:rsid w:val="000B5D08"/>
    <w:rsid w:val="000C0373"/>
    <w:rsid w:val="000C704A"/>
    <w:rsid w:val="000D615D"/>
    <w:rsid w:val="000E1AD6"/>
    <w:rsid w:val="00100364"/>
    <w:rsid w:val="00104C97"/>
    <w:rsid w:val="001415F4"/>
    <w:rsid w:val="001419B0"/>
    <w:rsid w:val="00141D05"/>
    <w:rsid w:val="00144EDB"/>
    <w:rsid w:val="00145731"/>
    <w:rsid w:val="00146104"/>
    <w:rsid w:val="00156FE0"/>
    <w:rsid w:val="00174C6A"/>
    <w:rsid w:val="00175BCC"/>
    <w:rsid w:val="001774E7"/>
    <w:rsid w:val="001812EC"/>
    <w:rsid w:val="00190409"/>
    <w:rsid w:val="001A2A4E"/>
    <w:rsid w:val="001A7AC7"/>
    <w:rsid w:val="001B22B3"/>
    <w:rsid w:val="001C1FC9"/>
    <w:rsid w:val="001C2C59"/>
    <w:rsid w:val="001C525B"/>
    <w:rsid w:val="001C57FC"/>
    <w:rsid w:val="001E0493"/>
    <w:rsid w:val="001E2EB6"/>
    <w:rsid w:val="001F4753"/>
    <w:rsid w:val="002005AF"/>
    <w:rsid w:val="002118F0"/>
    <w:rsid w:val="002121BF"/>
    <w:rsid w:val="002333FF"/>
    <w:rsid w:val="00234FB1"/>
    <w:rsid w:val="00240106"/>
    <w:rsid w:val="00242AC4"/>
    <w:rsid w:val="00256B7C"/>
    <w:rsid w:val="002724FF"/>
    <w:rsid w:val="0028432D"/>
    <w:rsid w:val="00285AE4"/>
    <w:rsid w:val="00296115"/>
    <w:rsid w:val="002A03DC"/>
    <w:rsid w:val="002A4953"/>
    <w:rsid w:val="002B19A8"/>
    <w:rsid w:val="002B1A10"/>
    <w:rsid w:val="002C0342"/>
    <w:rsid w:val="002D7403"/>
    <w:rsid w:val="002E5E26"/>
    <w:rsid w:val="002E6109"/>
    <w:rsid w:val="00304D7A"/>
    <w:rsid w:val="00305016"/>
    <w:rsid w:val="00310E59"/>
    <w:rsid w:val="00317F90"/>
    <w:rsid w:val="00322E90"/>
    <w:rsid w:val="003479E5"/>
    <w:rsid w:val="00356F19"/>
    <w:rsid w:val="0036178C"/>
    <w:rsid w:val="003626F1"/>
    <w:rsid w:val="0036325A"/>
    <w:rsid w:val="00394E09"/>
    <w:rsid w:val="00395273"/>
    <w:rsid w:val="003B2E05"/>
    <w:rsid w:val="003B44A9"/>
    <w:rsid w:val="003F2692"/>
    <w:rsid w:val="0040610F"/>
    <w:rsid w:val="004107B5"/>
    <w:rsid w:val="0041156E"/>
    <w:rsid w:val="00421D6F"/>
    <w:rsid w:val="00422874"/>
    <w:rsid w:val="00435583"/>
    <w:rsid w:val="0044644E"/>
    <w:rsid w:val="00453296"/>
    <w:rsid w:val="00454847"/>
    <w:rsid w:val="004579DE"/>
    <w:rsid w:val="004642E2"/>
    <w:rsid w:val="00467246"/>
    <w:rsid w:val="004736E4"/>
    <w:rsid w:val="00475C8B"/>
    <w:rsid w:val="00492AB4"/>
    <w:rsid w:val="00494C0F"/>
    <w:rsid w:val="004A6BBB"/>
    <w:rsid w:val="004B3438"/>
    <w:rsid w:val="004B624B"/>
    <w:rsid w:val="004B6C59"/>
    <w:rsid w:val="004C0AC9"/>
    <w:rsid w:val="004C4F82"/>
    <w:rsid w:val="004E1D02"/>
    <w:rsid w:val="004E6D60"/>
    <w:rsid w:val="004F58DA"/>
    <w:rsid w:val="00504FB4"/>
    <w:rsid w:val="0050526A"/>
    <w:rsid w:val="005125E9"/>
    <w:rsid w:val="005142C2"/>
    <w:rsid w:val="00540939"/>
    <w:rsid w:val="00541B64"/>
    <w:rsid w:val="005524BC"/>
    <w:rsid w:val="005530A6"/>
    <w:rsid w:val="005638EB"/>
    <w:rsid w:val="005668F7"/>
    <w:rsid w:val="0057537C"/>
    <w:rsid w:val="005755C1"/>
    <w:rsid w:val="00596F9A"/>
    <w:rsid w:val="005B547D"/>
    <w:rsid w:val="005C332E"/>
    <w:rsid w:val="005D1992"/>
    <w:rsid w:val="005E3885"/>
    <w:rsid w:val="005E7C49"/>
    <w:rsid w:val="005F29C6"/>
    <w:rsid w:val="005F4D2E"/>
    <w:rsid w:val="005F5DF9"/>
    <w:rsid w:val="005F5E3E"/>
    <w:rsid w:val="00612463"/>
    <w:rsid w:val="006141D2"/>
    <w:rsid w:val="00614937"/>
    <w:rsid w:val="00620855"/>
    <w:rsid w:val="00620BE0"/>
    <w:rsid w:val="00624DAD"/>
    <w:rsid w:val="006354B6"/>
    <w:rsid w:val="0064492D"/>
    <w:rsid w:val="006451B6"/>
    <w:rsid w:val="006525F7"/>
    <w:rsid w:val="006549F4"/>
    <w:rsid w:val="00661580"/>
    <w:rsid w:val="006628E8"/>
    <w:rsid w:val="00664E69"/>
    <w:rsid w:val="0066629A"/>
    <w:rsid w:val="00681EC4"/>
    <w:rsid w:val="00690D6A"/>
    <w:rsid w:val="006923DA"/>
    <w:rsid w:val="00694621"/>
    <w:rsid w:val="006A3645"/>
    <w:rsid w:val="006A5854"/>
    <w:rsid w:val="006A7599"/>
    <w:rsid w:val="006C27EB"/>
    <w:rsid w:val="006C656D"/>
    <w:rsid w:val="006D4375"/>
    <w:rsid w:val="006F7F69"/>
    <w:rsid w:val="00700FA9"/>
    <w:rsid w:val="00724175"/>
    <w:rsid w:val="0073015F"/>
    <w:rsid w:val="0073561A"/>
    <w:rsid w:val="007600D1"/>
    <w:rsid w:val="007646CA"/>
    <w:rsid w:val="0078272D"/>
    <w:rsid w:val="007A314E"/>
    <w:rsid w:val="007A3246"/>
    <w:rsid w:val="007A6F09"/>
    <w:rsid w:val="007B7BD5"/>
    <w:rsid w:val="007D00EB"/>
    <w:rsid w:val="007D3F2E"/>
    <w:rsid w:val="007D7645"/>
    <w:rsid w:val="007F0381"/>
    <w:rsid w:val="007F0EC7"/>
    <w:rsid w:val="007F1891"/>
    <w:rsid w:val="007F255B"/>
    <w:rsid w:val="008028DE"/>
    <w:rsid w:val="00802EF7"/>
    <w:rsid w:val="0080511D"/>
    <w:rsid w:val="00807564"/>
    <w:rsid w:val="00814B90"/>
    <w:rsid w:val="008161AD"/>
    <w:rsid w:val="00816924"/>
    <w:rsid w:val="00823E87"/>
    <w:rsid w:val="00843507"/>
    <w:rsid w:val="00850D44"/>
    <w:rsid w:val="0087187C"/>
    <w:rsid w:val="00890BC2"/>
    <w:rsid w:val="0089574E"/>
    <w:rsid w:val="0089740D"/>
    <w:rsid w:val="008A1EDE"/>
    <w:rsid w:val="008A3C55"/>
    <w:rsid w:val="008B38C2"/>
    <w:rsid w:val="008B4504"/>
    <w:rsid w:val="008B7669"/>
    <w:rsid w:val="008B7E74"/>
    <w:rsid w:val="008C1686"/>
    <w:rsid w:val="008C6E1A"/>
    <w:rsid w:val="008D12DD"/>
    <w:rsid w:val="008D179A"/>
    <w:rsid w:val="008D47A9"/>
    <w:rsid w:val="008E6675"/>
    <w:rsid w:val="008F05BB"/>
    <w:rsid w:val="008F134D"/>
    <w:rsid w:val="008F5140"/>
    <w:rsid w:val="00900E00"/>
    <w:rsid w:val="00925542"/>
    <w:rsid w:val="009300FF"/>
    <w:rsid w:val="009545AF"/>
    <w:rsid w:val="00983554"/>
    <w:rsid w:val="00983C85"/>
    <w:rsid w:val="009B1C7E"/>
    <w:rsid w:val="009B2C5A"/>
    <w:rsid w:val="009C0B84"/>
    <w:rsid w:val="009C0C8F"/>
    <w:rsid w:val="009C144E"/>
    <w:rsid w:val="009E21BF"/>
    <w:rsid w:val="009E60A3"/>
    <w:rsid w:val="009F11FA"/>
    <w:rsid w:val="00A00CCB"/>
    <w:rsid w:val="00A100DC"/>
    <w:rsid w:val="00A10605"/>
    <w:rsid w:val="00A10911"/>
    <w:rsid w:val="00A134A7"/>
    <w:rsid w:val="00A17C9E"/>
    <w:rsid w:val="00A2016B"/>
    <w:rsid w:val="00A20594"/>
    <w:rsid w:val="00A21E9E"/>
    <w:rsid w:val="00A220FC"/>
    <w:rsid w:val="00A345A9"/>
    <w:rsid w:val="00A43812"/>
    <w:rsid w:val="00A50942"/>
    <w:rsid w:val="00A530BE"/>
    <w:rsid w:val="00A55172"/>
    <w:rsid w:val="00A56362"/>
    <w:rsid w:val="00A61376"/>
    <w:rsid w:val="00A633C0"/>
    <w:rsid w:val="00A7161F"/>
    <w:rsid w:val="00A723F3"/>
    <w:rsid w:val="00A77DB2"/>
    <w:rsid w:val="00A93AAD"/>
    <w:rsid w:val="00A95B16"/>
    <w:rsid w:val="00AA6B4F"/>
    <w:rsid w:val="00AB10BF"/>
    <w:rsid w:val="00AC08CE"/>
    <w:rsid w:val="00AC5A59"/>
    <w:rsid w:val="00AE4C49"/>
    <w:rsid w:val="00AF02D8"/>
    <w:rsid w:val="00B03A61"/>
    <w:rsid w:val="00B2328A"/>
    <w:rsid w:val="00B243A8"/>
    <w:rsid w:val="00B3199E"/>
    <w:rsid w:val="00B457C3"/>
    <w:rsid w:val="00B574E9"/>
    <w:rsid w:val="00B6268D"/>
    <w:rsid w:val="00B6570D"/>
    <w:rsid w:val="00B6773C"/>
    <w:rsid w:val="00B773B8"/>
    <w:rsid w:val="00B80AF1"/>
    <w:rsid w:val="00B80F4C"/>
    <w:rsid w:val="00BA5116"/>
    <w:rsid w:val="00BA6044"/>
    <w:rsid w:val="00BB4A54"/>
    <w:rsid w:val="00BB571B"/>
    <w:rsid w:val="00BC12E2"/>
    <w:rsid w:val="00BC3D19"/>
    <w:rsid w:val="00BC4042"/>
    <w:rsid w:val="00BC6316"/>
    <w:rsid w:val="00BE3979"/>
    <w:rsid w:val="00BF0BA5"/>
    <w:rsid w:val="00BF0F6C"/>
    <w:rsid w:val="00BF11AE"/>
    <w:rsid w:val="00BF4029"/>
    <w:rsid w:val="00C112A6"/>
    <w:rsid w:val="00C11458"/>
    <w:rsid w:val="00C21654"/>
    <w:rsid w:val="00C227F9"/>
    <w:rsid w:val="00C35BFE"/>
    <w:rsid w:val="00C42080"/>
    <w:rsid w:val="00C53EB3"/>
    <w:rsid w:val="00C57A19"/>
    <w:rsid w:val="00C63B8D"/>
    <w:rsid w:val="00C63CD1"/>
    <w:rsid w:val="00C676EE"/>
    <w:rsid w:val="00C77A96"/>
    <w:rsid w:val="00C85693"/>
    <w:rsid w:val="00C9351A"/>
    <w:rsid w:val="00C96292"/>
    <w:rsid w:val="00CA6FE6"/>
    <w:rsid w:val="00CB3CA3"/>
    <w:rsid w:val="00CB43D3"/>
    <w:rsid w:val="00CB7E53"/>
    <w:rsid w:val="00CC682C"/>
    <w:rsid w:val="00CC7E5F"/>
    <w:rsid w:val="00CD2365"/>
    <w:rsid w:val="00CE69F3"/>
    <w:rsid w:val="00CE6D4C"/>
    <w:rsid w:val="00CF56C3"/>
    <w:rsid w:val="00CF5ECC"/>
    <w:rsid w:val="00D14350"/>
    <w:rsid w:val="00D216BD"/>
    <w:rsid w:val="00D21A79"/>
    <w:rsid w:val="00D26717"/>
    <w:rsid w:val="00D41422"/>
    <w:rsid w:val="00D42DAE"/>
    <w:rsid w:val="00D43CC6"/>
    <w:rsid w:val="00D62367"/>
    <w:rsid w:val="00D62489"/>
    <w:rsid w:val="00D675F1"/>
    <w:rsid w:val="00D80452"/>
    <w:rsid w:val="00D824FB"/>
    <w:rsid w:val="00D87B96"/>
    <w:rsid w:val="00D929E1"/>
    <w:rsid w:val="00D94AD9"/>
    <w:rsid w:val="00D9586E"/>
    <w:rsid w:val="00DA2774"/>
    <w:rsid w:val="00DB14F4"/>
    <w:rsid w:val="00DB4789"/>
    <w:rsid w:val="00DB58FE"/>
    <w:rsid w:val="00DC6CBD"/>
    <w:rsid w:val="00DD7B15"/>
    <w:rsid w:val="00DE0DAA"/>
    <w:rsid w:val="00DE5F97"/>
    <w:rsid w:val="00DF01F8"/>
    <w:rsid w:val="00E043CB"/>
    <w:rsid w:val="00E04CD3"/>
    <w:rsid w:val="00E120F6"/>
    <w:rsid w:val="00E14DE9"/>
    <w:rsid w:val="00E24E3B"/>
    <w:rsid w:val="00E32E97"/>
    <w:rsid w:val="00E4455E"/>
    <w:rsid w:val="00E53F75"/>
    <w:rsid w:val="00E70287"/>
    <w:rsid w:val="00E75833"/>
    <w:rsid w:val="00E86725"/>
    <w:rsid w:val="00E9243F"/>
    <w:rsid w:val="00E92C57"/>
    <w:rsid w:val="00EB0829"/>
    <w:rsid w:val="00EB185E"/>
    <w:rsid w:val="00EB54B7"/>
    <w:rsid w:val="00EB66DD"/>
    <w:rsid w:val="00EC002F"/>
    <w:rsid w:val="00EC0987"/>
    <w:rsid w:val="00ED4386"/>
    <w:rsid w:val="00ED6997"/>
    <w:rsid w:val="00ED79AA"/>
    <w:rsid w:val="00EE0D0B"/>
    <w:rsid w:val="00EE1581"/>
    <w:rsid w:val="00EE5875"/>
    <w:rsid w:val="00EF2D61"/>
    <w:rsid w:val="00EF5993"/>
    <w:rsid w:val="00EF6C68"/>
    <w:rsid w:val="00F000AA"/>
    <w:rsid w:val="00F1327C"/>
    <w:rsid w:val="00F233AA"/>
    <w:rsid w:val="00F23AC6"/>
    <w:rsid w:val="00F256C4"/>
    <w:rsid w:val="00F50427"/>
    <w:rsid w:val="00F64982"/>
    <w:rsid w:val="00F65AEB"/>
    <w:rsid w:val="00F91167"/>
    <w:rsid w:val="00F93566"/>
    <w:rsid w:val="00FA6FC5"/>
    <w:rsid w:val="00FB46A5"/>
    <w:rsid w:val="00FB55D0"/>
    <w:rsid w:val="00FC3BC5"/>
    <w:rsid w:val="00FE072A"/>
    <w:rsid w:val="00FF3A36"/>
    <w:rsid w:val="00FF469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1CDF"/>
  <w15:docId w15:val="{4817DC72-86B7-4EAB-848F-B216F2CC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D02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locked/>
    <w:rsid w:val="006A36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9"/>
    <w:qFormat/>
    <w:rsid w:val="004E1D0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4504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4E1D02"/>
    <w:pPr>
      <w:spacing w:line="480" w:lineRule="auto"/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B4504"/>
    <w:rPr>
      <w:rFonts w:cs="Times New Roman"/>
      <w:sz w:val="24"/>
      <w:szCs w:val="24"/>
    </w:rPr>
  </w:style>
  <w:style w:type="paragraph" w:styleId="StandardWeb">
    <w:name w:val="Normal (Web)"/>
    <w:basedOn w:val="Standard"/>
    <w:uiPriority w:val="99"/>
    <w:rsid w:val="004E1D02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Absatz-Standardschriftart"/>
    <w:uiPriority w:val="99"/>
    <w:rsid w:val="004E1D02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4E1D02"/>
    <w:rPr>
      <w:rFonts w:ascii="Arial" w:hAnsi="Arial" w:cs="Arial"/>
      <w:b/>
      <w:bCs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B4504"/>
    <w:rPr>
      <w:rFonts w:cs="Times New Roman"/>
      <w:sz w:val="24"/>
      <w:szCs w:val="24"/>
    </w:rPr>
  </w:style>
  <w:style w:type="paragraph" w:customStyle="1" w:styleId="affiliation">
    <w:name w:val="affiliation"/>
    <w:basedOn w:val="Standard"/>
    <w:uiPriority w:val="99"/>
    <w:rsid w:val="004E1D02"/>
    <w:rPr>
      <w:color w:val="000000"/>
    </w:rPr>
  </w:style>
  <w:style w:type="character" w:customStyle="1" w:styleId="ti2">
    <w:name w:val="ti2"/>
    <w:basedOn w:val="Absatz-Standardschriftart"/>
    <w:uiPriority w:val="99"/>
    <w:rsid w:val="004E1D02"/>
    <w:rPr>
      <w:rFonts w:cs="Times New Roman"/>
    </w:rPr>
  </w:style>
  <w:style w:type="character" w:customStyle="1" w:styleId="featuredlinkouts">
    <w:name w:val="featured_linkouts"/>
    <w:basedOn w:val="Absatz-Standardschriftart"/>
    <w:uiPriority w:val="99"/>
    <w:rsid w:val="004E1D02"/>
    <w:rPr>
      <w:rFonts w:cs="Times New Roman"/>
    </w:rPr>
  </w:style>
  <w:style w:type="character" w:customStyle="1" w:styleId="linkbar">
    <w:name w:val="linkbar"/>
    <w:basedOn w:val="Absatz-Standardschriftart"/>
    <w:uiPriority w:val="99"/>
    <w:rsid w:val="004E1D02"/>
    <w:rPr>
      <w:rFonts w:cs="Times New Roman"/>
    </w:rPr>
  </w:style>
  <w:style w:type="character" w:styleId="BesuchterLink">
    <w:name w:val="FollowedHyperlink"/>
    <w:basedOn w:val="Absatz-Standardschriftart"/>
    <w:uiPriority w:val="99"/>
    <w:rsid w:val="004E1D02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E1D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B4504"/>
    <w:rPr>
      <w:rFonts w:cs="Times New Roman"/>
      <w:sz w:val="2"/>
    </w:rPr>
  </w:style>
  <w:style w:type="paragraph" w:styleId="Titel">
    <w:name w:val="Title"/>
    <w:basedOn w:val="Standard"/>
    <w:next w:val="Standard"/>
    <w:link w:val="TitelZchn"/>
    <w:uiPriority w:val="99"/>
    <w:qFormat/>
    <w:rsid w:val="005638EB"/>
    <w:pPr>
      <w:pBdr>
        <w:bottom w:val="single" w:sz="8" w:space="4" w:color="2DA2BF"/>
      </w:pBdr>
      <w:spacing w:after="300"/>
      <w:contextualSpacing/>
    </w:pPr>
    <w:rPr>
      <w:rFonts w:ascii="Lucida Sans Unicode" w:hAnsi="Lucida Sans Unicode"/>
      <w:color w:val="343434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638EB"/>
    <w:rPr>
      <w:rFonts w:ascii="Lucida Sans Unicode" w:hAnsi="Lucida Sans Unicode" w:cs="Times New Roman"/>
      <w:color w:val="343434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4504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B4504"/>
    <w:rPr>
      <w:rFonts w:cs="Times New Roman"/>
      <w:sz w:val="24"/>
      <w:szCs w:val="24"/>
    </w:rPr>
  </w:style>
  <w:style w:type="paragraph" w:styleId="berarbeitung">
    <w:name w:val="Revision"/>
    <w:hidden/>
    <w:uiPriority w:val="99"/>
    <w:semiHidden/>
    <w:rsid w:val="00E53F7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3558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6A3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1A1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41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2417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2417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1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41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-ba.de/richtlinien/122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23101DCFBA7749887911E3CB672BB5" ma:contentTypeVersion="13" ma:contentTypeDescription="Ein neues Dokument erstellen." ma:contentTypeScope="" ma:versionID="548af72fe61db11d3353fa9a67b63cc8">
  <xsd:schema xmlns:xsd="http://www.w3.org/2001/XMLSchema" xmlns:xs="http://www.w3.org/2001/XMLSchema" xmlns:p="http://schemas.microsoft.com/office/2006/metadata/properties" xmlns:ns2="f2b9fac7-f26d-4300-b653-5c1487603614" xmlns:ns3="4e1db847-b76b-42a4-b93b-2443b50cd66c" targetNamespace="http://schemas.microsoft.com/office/2006/metadata/properties" ma:root="true" ma:fieldsID="9481badb96fe18c19df448851bd55c09" ns2:_="" ns3:_="">
    <xsd:import namespace="f2b9fac7-f26d-4300-b653-5c1487603614"/>
    <xsd:import namespace="4e1db847-b76b-42a4-b93b-2443b50cd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9fac7-f26d-4300-b653-5c1487603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6cf23042-53e8-4101-8b41-0a7ba41cb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db847-b76b-42a4-b93b-2443b50cd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0938573-ccea-4bde-863b-6b57e46505b5}" ma:internalName="TaxCatchAll" ma:showField="CatchAllData" ma:web="4e1db847-b76b-42a4-b93b-2443b50cd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1db847-b76b-42a4-b93b-2443b50cd66c" xsi:nil="true"/>
    <lcf76f155ced4ddcb4097134ff3c332f xmlns="f2b9fac7-f26d-4300-b653-5c1487603614">
      <Terms xmlns="http://schemas.microsoft.com/office/infopath/2007/PartnerControls"/>
    </lcf76f155ced4ddcb4097134ff3c332f>
    <SharedWithUsers xmlns="4e1db847-b76b-42a4-b93b-2443b50cd66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B78C6D1-996B-4D0A-A722-7214C12D0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46D0E-5CE3-49CC-8BC7-C743EC914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9fac7-f26d-4300-b653-5c1487603614"/>
    <ds:schemaRef ds:uri="4e1db847-b76b-42a4-b93b-2443b50cd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670BFB-59B6-46A8-80F2-4E5BAC7A9433}">
  <ds:schemaRefs>
    <ds:schemaRef ds:uri="http://schemas.microsoft.com/office/2006/metadata/properties"/>
    <ds:schemaRef ds:uri="http://schemas.microsoft.com/office/infopath/2007/PartnerControls"/>
    <ds:schemaRef ds:uri="4e1db847-b76b-42a4-b93b-2443b50cd66c"/>
    <ds:schemaRef ds:uri="f2b9fac7-f26d-4300-b653-5c14876036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7878</Characters>
  <Application>Microsoft Office Word</Application>
  <DocSecurity>0</DocSecurity>
  <Lines>164</Lines>
  <Paragraphs>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Klinikum der Universitaet Muenchen</Company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Massenkeil</dc:creator>
  <cp:lastModifiedBy>Isabell Kaufhold</cp:lastModifiedBy>
  <cp:revision>32</cp:revision>
  <cp:lastPrinted>2012-10-09T15:17:00Z</cp:lastPrinted>
  <dcterms:created xsi:type="dcterms:W3CDTF">2025-03-26T12:32:00Z</dcterms:created>
  <dcterms:modified xsi:type="dcterms:W3CDTF">2025-03-27T16:21:00Z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0x010100BC23101DCFBA7749887911E3CB672BB5</vt:lpwstr>
  </property>
  <property fmtid="{D5CDD505-2E9C-101B-9397-08002B2CF9AE}" pid="3" name="Order">
    <vt:r8>183200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