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7342848E" w14:textId="77777777">
        <w:tc>
          <w:tcPr>
            <w:tcW w:w="9212" w:type="dxa"/>
          </w:tcPr>
          <w:p w:rsidRPr="00EC71AB" w:rsidR="008E6675" w:rsidP="002005AF" w:rsidRDefault="008E6675" w14:paraId="3856C14D" w14:textId="74BC03D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 xml:space="preserve">Haben Sie externe Hilfestellungen </w:t>
            </w:r>
            <w:r w:rsidRPr="00247C7B" w:rsidR="002333FF">
              <w:rPr>
                <w:rFonts w:ascii="Arial Narrow" w:hAnsi="Arial Narrow"/>
                <w:b/>
                <w:sz w:val="22"/>
                <w:szCs w:val="22"/>
              </w:rPr>
              <w:t xml:space="preserve">zum Ausfüllen der Formblätter </w:t>
            </w:r>
            <w:r w:rsidRPr="00247C7B">
              <w:rPr>
                <w:rFonts w:ascii="Arial Narrow" w:hAnsi="Arial Narrow"/>
                <w:b/>
                <w:sz w:val="22"/>
                <w:szCs w:val="22"/>
              </w:rPr>
              <w:t>in Anspruch genommen</w:t>
            </w:r>
            <w:r w:rsidRPr="00247C7B" w:rsidR="002005AF">
              <w:rPr>
                <w:rFonts w:ascii="Arial Narrow" w:hAnsi="Arial Narrow"/>
                <w:b/>
                <w:sz w:val="22"/>
                <w:szCs w:val="22"/>
              </w:rPr>
              <w:t>?</w:t>
            </w:r>
            <w:r w:rsidRPr="00247C7B">
              <w:rPr>
                <w:rFonts w:ascii="Arial Narrow" w:hAnsi="Arial Narrow"/>
                <w:b/>
                <w:sz w:val="22"/>
                <w:szCs w:val="22"/>
              </w:rPr>
              <w:t xml:space="preserve"> Wenn ja, bitte geben Sie an, welche Hilfestellung</w:t>
            </w:r>
            <w:r w:rsidRPr="00247C7B" w:rsidR="002005AF">
              <w:rPr>
                <w:rFonts w:ascii="Arial Narrow" w:hAnsi="Arial Narrow"/>
                <w:b/>
                <w:sz w:val="22"/>
                <w:szCs w:val="22"/>
              </w:rPr>
              <w:t xml:space="preserve"> Sie in Anspruch genommen haben</w:t>
            </w:r>
            <w:r w:rsidRPr="00247C7B">
              <w:rPr>
                <w:rFonts w:ascii="Arial Narrow" w:hAnsi="Arial Narrow"/>
                <w:b/>
                <w:sz w:val="22"/>
                <w:szCs w:val="22"/>
              </w:rPr>
              <w:t>?</w:t>
            </w:r>
          </w:p>
        </w:tc>
      </w:tr>
      <w:tr w:rsidRPr="00EC71AB" w:rsidR="008E6675" w14:paraId="2315EEB9" w14:textId="77777777">
        <w:tc>
          <w:tcPr>
            <w:tcW w:w="9212" w:type="dxa"/>
          </w:tcPr>
          <w:p w:rsidRPr="00EC71AB" w:rsidR="008E6675" w:rsidP="005638EB" w:rsidRDefault="008E6675" w14:paraId="59E436C4" w14:textId="3EEC5F9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Pr="00EC71AB" w:rsidR="008E6675" w:rsidP="005638EB" w:rsidRDefault="008E6675" w14:paraId="1B73E9CE" w14:textId="77777777">
      <w:pPr>
        <w:rPr>
          <w:rFonts w:ascii="Arial Narrow" w:hAnsi="Arial Narrow"/>
          <w:sz w:val="22"/>
          <w:szCs w:val="22"/>
        </w:rPr>
      </w:pPr>
    </w:p>
    <w:tbl>
      <w:tblPr>
        <w:tblW w:w="9212" w:type="dxa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:rsidTr="000B5149" w14:paraId="69DF06E3" w14:textId="77777777">
        <w:tc>
          <w:tcPr>
            <w:tcW w:w="9212" w:type="dxa"/>
          </w:tcPr>
          <w:p w:rsidRPr="00EC71AB" w:rsidR="008E6675" w:rsidP="005638EB" w:rsidRDefault="008E6675" w14:paraId="48DD38F6" w14:textId="62BF7CF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Angefragte Untersuchungs- und Beh</w:t>
            </w:r>
            <w:r w:rsidRPr="00247C7B" w:rsidR="002333FF">
              <w:rPr>
                <w:rFonts w:ascii="Arial Narrow" w:hAnsi="Arial Narrow"/>
                <w:b/>
                <w:sz w:val="22"/>
                <w:szCs w:val="22"/>
              </w:rPr>
              <w:t>andlungsmethode</w:t>
            </w:r>
          </w:p>
        </w:tc>
      </w:tr>
      <w:tr w:rsidRPr="00EC71AB" w:rsidR="000B5149" w:rsidTr="000B5149" w14:paraId="3534B4A0" w14:textId="77777777">
        <w:tc>
          <w:tcPr>
            <w:tcW w:w="9212" w:type="dxa"/>
          </w:tcPr>
          <w:p w:rsidRPr="00247C7B" w:rsidR="000B5149" w:rsidP="000B5149" w:rsidRDefault="00E5224A" w14:paraId="2C182448" w14:textId="14D82438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>Trofinetid</w:t>
            </w:r>
            <w:r w:rsidR="008B7927">
              <w:rPr>
                <w:rFonts w:ascii="Arial Narrow" w:hAnsi="Arial Narrow"/>
                <w:color w:val="000000" w:themeColor="text1"/>
                <w:sz w:val="22"/>
                <w:szCs w:val="22"/>
              </w:rPr>
              <w:t>e</w:t>
            </w:r>
          </w:p>
        </w:tc>
      </w:tr>
    </w:tbl>
    <w:p w:rsidRPr="00247C7B" w:rsidR="008E6675" w:rsidP="005638EB" w:rsidRDefault="008E6675" w14:paraId="42022921" w14:textId="77777777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16B6F275" w14:textId="77777777">
        <w:tc>
          <w:tcPr>
            <w:tcW w:w="9212" w:type="dxa"/>
          </w:tcPr>
          <w:p w:rsidRPr="00EC71AB" w:rsidR="008E6675" w:rsidP="00596F9A" w:rsidRDefault="008E6675" w14:paraId="67F0AA02" w14:textId="4EF70D85">
            <w:pPr>
              <w:tabs>
                <w:tab w:val="left" w:pos="7465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Alternative Bezeichnung(en) der Methode</w:t>
            </w:r>
            <w:r w:rsidRPr="00247C7B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</w:tr>
      <w:tr w:rsidRPr="00EC71AB" w:rsidR="008E6675" w14:paraId="6AA1CD49" w14:textId="77777777">
        <w:tc>
          <w:tcPr>
            <w:tcW w:w="9212" w:type="dxa"/>
          </w:tcPr>
          <w:p w:rsidRPr="00EC71AB" w:rsidR="008E6675" w:rsidP="005638EB" w:rsidRDefault="00126D71" w14:paraId="03804348" w14:textId="135E2FCD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(INN, derzeit </w:t>
            </w:r>
            <w:proofErr w:type="gramStart"/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>ohne Handelsname</w:t>
            </w:r>
            <w:proofErr w:type="gramEnd"/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in der EU, </w:t>
            </w:r>
            <w:proofErr w:type="spellStart"/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>Acadia</w:t>
            </w:r>
            <w:proofErr w:type="spellEnd"/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Pharmaceuticals)</w:t>
            </w:r>
            <w:r w:rsidRPr="00247C7B" w:rsidR="0041771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247C7B" w:rsidR="0041771F">
              <w:rPr>
                <w:rFonts w:ascii="Arial Narrow" w:hAnsi="Arial Narrow"/>
                <w:color w:val="000000" w:themeColor="text1"/>
                <w:sz w:val="22"/>
                <w:szCs w:val="22"/>
              </w:rPr>
              <w:t>Daybue</w:t>
            </w:r>
            <w:proofErr w:type="spellEnd"/>
            <w:r w:rsidRPr="00247C7B" w:rsidR="0041771F">
              <w:rPr>
                <w:rFonts w:ascii="Arial Narrow" w:hAnsi="Arial Narrow"/>
                <w:color w:val="000000" w:themeColor="text1"/>
                <w:sz w:val="22"/>
                <w:szCs w:val="22"/>
              </w:rPr>
              <w:t>® in den USA)</w:t>
            </w:r>
          </w:p>
        </w:tc>
      </w:tr>
    </w:tbl>
    <w:p w:rsidRPr="00EC71AB" w:rsidR="004C4F82" w:rsidRDefault="004C4F82" w14:paraId="5C4D6932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4C4F82" w:rsidTr="004C4F82" w14:paraId="6FC43EE4" w14:textId="77777777">
        <w:tc>
          <w:tcPr>
            <w:tcW w:w="9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7C7B" w:rsidR="004C4F82" w:rsidP="004C4F82" w:rsidRDefault="004C4F82" w14:paraId="20C990C9" w14:textId="48FE42C0">
            <w:pPr>
              <w:tabs>
                <w:tab w:val="left" w:pos="7465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Beruht die neue Untersuchungs- und Behandlungsmethode vollständig oder in Teilen auf dem Einsatz eines Medizinproduktes?</w:t>
            </w:r>
            <w:r w:rsidRPr="00247C7B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</w:tr>
      <w:tr w:rsidRPr="00EC71AB" w:rsidR="004C4F82" w:rsidTr="004C4F82" w14:paraId="049FBCCE" w14:textId="77777777">
        <w:tc>
          <w:tcPr>
            <w:tcW w:w="9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7C7B" w:rsidR="004C4F82" w:rsidP="008B7669" w:rsidRDefault="008B7669" w14:paraId="5E4B2A39" w14:textId="492BF289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>[</w:t>
            </w:r>
            <w:r w:rsidRPr="00247C7B">
              <w:rPr>
                <w:rFonts w:ascii="Arial Narrow" w:hAnsi="Arial Narrow"/>
                <w:sz w:val="22"/>
                <w:szCs w:val="22"/>
                <w:highlight w:val="yellow"/>
              </w:rPr>
              <w:t>nein ankreuzen</w:t>
            </w:r>
            <w:r w:rsidRPr="00247C7B">
              <w:rPr>
                <w:rFonts w:ascii="Arial Narrow" w:hAnsi="Arial Narrow"/>
                <w:sz w:val="22"/>
                <w:szCs w:val="22"/>
              </w:rPr>
              <w:t>]</w:t>
            </w:r>
          </w:p>
        </w:tc>
      </w:tr>
    </w:tbl>
    <w:p w:rsidRPr="00247C7B" w:rsidR="008E6675" w:rsidP="005638EB" w:rsidRDefault="008E6675" w14:paraId="7F1AD41E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492AB4" w:rsidTr="0036178C" w14:paraId="5055E8B5" w14:textId="77777777">
        <w:tc>
          <w:tcPr>
            <w:tcW w:w="9212" w:type="dxa"/>
          </w:tcPr>
          <w:p w:rsidRPr="00EC71AB" w:rsidR="00492AB4" w:rsidP="006354B6" w:rsidRDefault="00492AB4" w14:paraId="43488653" w14:textId="3D142434">
            <w:pPr>
              <w:tabs>
                <w:tab w:val="left" w:pos="7465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Wurde für diese angefrag</w:t>
            </w:r>
            <w:r w:rsidRPr="00247C7B" w:rsidR="00DC6CBD">
              <w:rPr>
                <w:rFonts w:ascii="Arial Narrow" w:hAnsi="Arial Narrow"/>
                <w:b/>
                <w:sz w:val="22"/>
                <w:szCs w:val="22"/>
              </w:rPr>
              <w:t>te Untersuchungs- und Behandlungsmethode von Ihrem Kranke</w:t>
            </w:r>
            <w:r w:rsidRPr="00247C7B" w:rsidR="00DB14F4">
              <w:rPr>
                <w:rFonts w:ascii="Arial Narrow" w:hAnsi="Arial Narrow"/>
                <w:b/>
                <w:sz w:val="22"/>
                <w:szCs w:val="22"/>
              </w:rPr>
              <w:t>nhaus bereits vor dem 01.01.202</w:t>
            </w:r>
            <w:r w:rsidRPr="00247C7B" w:rsidR="0041771F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247C7B" w:rsidR="00DC6CBD">
              <w:rPr>
                <w:rFonts w:ascii="Arial Narrow" w:hAnsi="Arial Narrow"/>
                <w:b/>
                <w:sz w:val="22"/>
                <w:szCs w:val="22"/>
              </w:rPr>
              <w:t xml:space="preserve"> eine Anfrage gemäß §6 Abs. 2 </w:t>
            </w:r>
            <w:proofErr w:type="spellStart"/>
            <w:r w:rsidRPr="00247C7B" w:rsidR="00DC6CBD">
              <w:rPr>
                <w:rFonts w:ascii="Arial Narrow" w:hAnsi="Arial Narrow"/>
                <w:b/>
                <w:sz w:val="22"/>
                <w:szCs w:val="22"/>
              </w:rPr>
              <w:t>KHEntG</w:t>
            </w:r>
            <w:proofErr w:type="spellEnd"/>
            <w:r w:rsidRPr="00247C7B" w:rsidR="00DC6CBD">
              <w:rPr>
                <w:rFonts w:ascii="Arial Narrow" w:hAnsi="Arial Narrow"/>
                <w:b/>
                <w:sz w:val="22"/>
                <w:szCs w:val="22"/>
              </w:rPr>
              <w:t xml:space="preserve"> an das InEK übermittelt</w:t>
            </w:r>
            <w:r w:rsidRPr="00247C7B" w:rsidR="002333FF">
              <w:rPr>
                <w:rFonts w:ascii="Arial Narrow" w:hAnsi="Arial Narrow"/>
                <w:b/>
                <w:sz w:val="22"/>
                <w:szCs w:val="22"/>
              </w:rPr>
              <w:t>?</w:t>
            </w:r>
          </w:p>
        </w:tc>
      </w:tr>
      <w:tr w:rsidRPr="00EC71AB" w:rsidR="00492AB4" w:rsidTr="0036178C" w14:paraId="3F239A32" w14:textId="77777777">
        <w:tc>
          <w:tcPr>
            <w:tcW w:w="9212" w:type="dxa"/>
          </w:tcPr>
          <w:p w:rsidRPr="00247C7B" w:rsidR="000B5149" w:rsidP="00DB14F4" w:rsidRDefault="00ED79AA" w14:paraId="7DD0679B" w14:textId="5B420C73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47C7B">
              <w:rPr>
                <w:rFonts w:ascii="Arial Narrow" w:hAnsi="Arial Narrow"/>
                <w:sz w:val="22"/>
                <w:szCs w:val="22"/>
                <w:highlight w:val="yellow"/>
              </w:rPr>
              <w:t>[</w:t>
            </w:r>
            <w:r w:rsidRPr="00247C7B" w:rsidR="00DC6CBD">
              <w:rPr>
                <w:rFonts w:ascii="Arial Narrow" w:hAnsi="Arial Narrow"/>
                <w:sz w:val="22"/>
                <w:szCs w:val="22"/>
                <w:highlight w:val="yellow"/>
              </w:rPr>
              <w:t>nein</w:t>
            </w:r>
            <w:r w:rsidRPr="00247C7B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ankreuzen]</w:t>
            </w:r>
          </w:p>
        </w:tc>
      </w:tr>
    </w:tbl>
    <w:p w:rsidRPr="00247C7B" w:rsidR="00492AB4" w:rsidP="005638EB" w:rsidRDefault="00492AB4" w14:paraId="53DF57CA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0823808B" w14:textId="77777777">
        <w:tc>
          <w:tcPr>
            <w:tcW w:w="9212" w:type="dxa"/>
          </w:tcPr>
          <w:p w:rsidRPr="00EC71AB" w:rsidR="008E6675" w:rsidP="005638EB" w:rsidRDefault="008E6675" w14:paraId="3A37C23D" w14:textId="6AFD43C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Beschreibung der neuen Methode</w:t>
            </w:r>
          </w:p>
        </w:tc>
      </w:tr>
      <w:tr w:rsidRPr="00EC71AB" w:rsidR="008E6675" w14:paraId="5696BA9D" w14:textId="77777777">
        <w:tc>
          <w:tcPr>
            <w:tcW w:w="9212" w:type="dxa"/>
          </w:tcPr>
          <w:p w:rsidRPr="00247C7B" w:rsidR="00332729" w:rsidP="0036325A" w:rsidRDefault="0036325A" w14:paraId="6C8DA71A" w14:textId="77777777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Wirkweise:</w:t>
            </w:r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  <w:p w:rsidRPr="00247C7B" w:rsidR="008E6675" w:rsidP="0036325A" w:rsidRDefault="006E598B" w14:paraId="0CA0EC6A" w14:textId="69C221AD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>Trofinetid</w:t>
            </w:r>
            <w:r w:rsidR="00D7370B">
              <w:rPr>
                <w:rFonts w:ascii="Arial Narrow" w:hAnsi="Arial Narrow"/>
                <w:sz w:val="22"/>
                <w:szCs w:val="22"/>
              </w:rPr>
              <w:t>e</w:t>
            </w:r>
            <w:r w:rsidRPr="00247C7B">
              <w:rPr>
                <w:rFonts w:ascii="Arial Narrow" w:hAnsi="Arial Narrow"/>
                <w:sz w:val="22"/>
                <w:szCs w:val="22"/>
              </w:rPr>
              <w:t xml:space="preserve"> ist ein oral verfügbares Analog des N-terminalen IGF-1-Tripeptids Gly-Pro-Glu (GPE) und adressiert zentrale pathophysiologische Mechanismen des 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</w:rPr>
              <w:t>Rett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</w:rPr>
              <w:t xml:space="preserve">-Syndroms. Präklinisch wurde u. a. eine Verbesserung dendritischer Strukturen und synaptischer Signalwege beschrieben, was auf eine Modulation neuronaler und 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</w:rPr>
              <w:t>glialer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</w:rPr>
              <w:t xml:space="preserve"> IGF-1-vermittelter Signalkaskaden hindeutet. Die klinische Wirksamkeit wird als multikomponentenbasiert verstanden (u. a. Einfluss auf 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</w:rPr>
              <w:t>Synapsenfunktion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</w:rPr>
              <w:t>Neuroinflammation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</w:rPr>
              <w:t xml:space="preserve"> und Plastizität). Der exakte klinische Wirkmechanismus ist aktuell nicht abschließend geklärt</w:t>
            </w:r>
            <w:r w:rsidR="00625D9C">
              <w:rPr>
                <w:rFonts w:ascii="Arial Narrow" w:hAnsi="Arial Narrow"/>
                <w:sz w:val="22"/>
                <w:szCs w:val="22"/>
              </w:rPr>
              <w:t>.</w:t>
            </w:r>
            <w:r w:rsidR="00B84E2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Pr="00EC71AB" w:rsidR="006E598B" w:rsidP="0036325A" w:rsidRDefault="006E598B" w14:paraId="4D2BDDE0" w14:textId="77777777">
            <w:pPr>
              <w:rPr>
                <w:rFonts w:ascii="Arial Narrow" w:hAnsi="Arial Narrow"/>
                <w:sz w:val="22"/>
                <w:szCs w:val="22"/>
              </w:rPr>
            </w:pPr>
          </w:p>
          <w:p w:rsidRPr="00247C7B" w:rsidR="00332729" w:rsidP="005638EB" w:rsidRDefault="0036325A" w14:paraId="610E7A59" w14:textId="77777777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Evidenzlage:</w:t>
            </w:r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  <w:p w:rsidRPr="00247C7B" w:rsidR="000153FB" w:rsidP="005638EB" w:rsidRDefault="001F171A" w14:paraId="53886E92" w14:textId="4A517141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 xml:space="preserve">Die 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</w:rPr>
              <w:t>pivotalen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</w:rPr>
              <w:t xml:space="preserve"> Daten stammen aus LAVENDER, einer 12-wöchigen, randomisierten, doppelblinden, placebokontrollierten Phase-III-Studie mit 187 Mädchen und jungen Frauen (5–20 J.). Co-primäre Endpunkte waren der RSBQ (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</w:rPr>
              <w:t>Caregiver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</w:rPr>
              <w:t>-basiert) und CGI-I (ärztliche Globalbeurteilung). Trofinetid</w:t>
            </w:r>
            <w:r w:rsidR="00D7370B">
              <w:rPr>
                <w:rFonts w:ascii="Arial Narrow" w:hAnsi="Arial Narrow"/>
                <w:sz w:val="22"/>
                <w:szCs w:val="22"/>
              </w:rPr>
              <w:t>e</w:t>
            </w:r>
            <w:r w:rsidRPr="00247C7B">
              <w:rPr>
                <w:rFonts w:ascii="Arial Narrow" w:hAnsi="Arial Narrow"/>
                <w:sz w:val="22"/>
                <w:szCs w:val="22"/>
              </w:rPr>
              <w:t xml:space="preserve"> zeigte eine signifikante Überlegenheit gegenüber Placebo für beide Endpunkte; u. a. verbesserte sich der RSBQ-Gesamtscore klinisch bedeutsam, und die CGI-I-Beurteilung fiel günstiger aus. Häufigste Nebenwirkungen waren Diarrhö und Erbrechen, überwiegend mild bis moderat; das Sicherheitsprofil bestätigte sich in Langzeit-/Extensionsdaten (z. B. LILAC). Die Ergebnisse wurden in Nature Medicine publiziert und bildeten die Grundlage der FDA-Zulassung. Für die EU wurde im Januar 2025 ein MAA bei der EMA eingereicht; eine EU-Produktinformation (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</w:rPr>
              <w:t>SmPC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</w:rPr>
              <w:t>) liegt noch nicht vor</w:t>
            </w:r>
            <w:r w:rsidRPr="00247C7B" w:rsidR="00486589">
              <w:rPr>
                <w:rFonts w:ascii="Arial Narrow" w:hAnsi="Arial Narrow"/>
                <w:sz w:val="22"/>
                <w:szCs w:val="22"/>
              </w:rPr>
              <w:t xml:space="preserve"> (LAVENDER</w:t>
            </w:r>
            <w:r w:rsidRPr="00247C7B" w:rsidR="00675A2D">
              <w:rPr>
                <w:rFonts w:ascii="Arial Narrow" w:hAnsi="Arial Narrow"/>
                <w:sz w:val="22"/>
                <w:szCs w:val="22"/>
              </w:rPr>
              <w:t xml:space="preserve"> Clinical Trials.gov </w:t>
            </w:r>
            <w:proofErr w:type="spellStart"/>
            <w:r w:rsidRPr="00247C7B" w:rsidR="00675A2D">
              <w:rPr>
                <w:rFonts w:ascii="Arial Narrow" w:hAnsi="Arial Narrow"/>
                <w:sz w:val="22"/>
                <w:szCs w:val="22"/>
              </w:rPr>
              <w:t>number</w:t>
            </w:r>
            <w:proofErr w:type="spellEnd"/>
            <w:r w:rsidRPr="00247C7B" w:rsidR="00675A2D">
              <w:rPr>
                <w:rFonts w:ascii="Arial Narrow" w:hAnsi="Arial Narrow"/>
                <w:sz w:val="22"/>
                <w:szCs w:val="22"/>
              </w:rPr>
              <w:t>: NCT04181723</w:t>
            </w:r>
            <w:r w:rsidRPr="00247C7B" w:rsidR="00EA6CCB">
              <w:rPr>
                <w:rFonts w:ascii="Arial Narrow" w:hAnsi="Arial Narrow"/>
                <w:sz w:val="22"/>
                <w:szCs w:val="22"/>
              </w:rPr>
              <w:t xml:space="preserve"> Publikation: DOI: 10.1038/s41591-023-02398-1</w:t>
            </w:r>
            <w:r w:rsidRPr="00247C7B" w:rsidR="00675A2D">
              <w:rPr>
                <w:rFonts w:ascii="Arial Narrow" w:hAnsi="Arial Narrow"/>
                <w:sz w:val="22"/>
                <w:szCs w:val="22"/>
              </w:rPr>
              <w:t>)</w:t>
            </w:r>
            <w:r w:rsidRPr="00247C7B" w:rsidR="00EA6CCB">
              <w:rPr>
                <w:rFonts w:ascii="Arial Narrow" w:hAnsi="Arial Narrow"/>
                <w:sz w:val="22"/>
                <w:szCs w:val="22"/>
              </w:rPr>
              <w:t>.</w:t>
            </w:r>
          </w:p>
          <w:p w:rsidRPr="00247C7B" w:rsidR="001F171A" w:rsidP="005638EB" w:rsidRDefault="001F171A" w14:paraId="18E67C79" w14:textId="77777777">
            <w:pPr>
              <w:rPr>
                <w:rFonts w:ascii="Arial Narrow" w:hAnsi="Arial Narrow"/>
                <w:sz w:val="22"/>
                <w:szCs w:val="22"/>
              </w:rPr>
            </w:pPr>
          </w:p>
          <w:p w:rsidRPr="00247C7B" w:rsidR="00332729" w:rsidP="0078272D" w:rsidRDefault="0036325A" w14:paraId="57B43CA7" w14:textId="77777777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Dosi</w:t>
            </w:r>
            <w:r w:rsidRPr="00247C7B" w:rsidR="004C4F8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erung</w:t>
            </w:r>
            <w:r w:rsidRPr="00247C7B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  <w:p w:rsidRPr="00247C7B" w:rsidR="00015748" w:rsidP="0078272D" w:rsidRDefault="00687B29" w14:paraId="5A630627" w14:textId="6CCEE1AB">
            <w:pPr>
              <w:rPr>
                <w:rFonts w:ascii="Arial Narrow" w:hAnsi="Arial Narrow"/>
                <w:sz w:val="22"/>
                <w:szCs w:val="22"/>
                <w:lang w:val="de-CH"/>
              </w:rPr>
            </w:pPr>
            <w:r w:rsidRPr="00247C7B">
              <w:rPr>
                <w:rFonts w:ascii="Arial Narrow" w:hAnsi="Arial Narrow"/>
                <w:sz w:val="22"/>
                <w:szCs w:val="22"/>
                <w:lang w:val="de-CH"/>
              </w:rPr>
              <w:t>Solange keine EU-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  <w:lang w:val="de-CH"/>
              </w:rPr>
              <w:t>SmPC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  <w:lang w:val="de-CH"/>
              </w:rPr>
              <w:t xml:space="preserve"> vorliegt, wird die Dosierung gemäß öffentlich verfügbarer US-Fachinformation angegeben; Aktualisierung nach EMA-Entscheid vorgesehen: </w:t>
            </w:r>
            <w:r w:rsidRPr="00247C7B" w:rsidR="002920F6">
              <w:rPr>
                <w:rFonts w:ascii="Arial Narrow" w:hAnsi="Arial Narrow"/>
                <w:sz w:val="22"/>
                <w:szCs w:val="22"/>
                <w:lang w:val="de-CH"/>
              </w:rPr>
              <w:t>200 mg/</w:t>
            </w:r>
            <w:proofErr w:type="spellStart"/>
            <w:r w:rsidRPr="00247C7B" w:rsidR="002920F6">
              <w:rPr>
                <w:rFonts w:ascii="Arial Narrow" w:hAnsi="Arial Narrow"/>
                <w:sz w:val="22"/>
                <w:szCs w:val="22"/>
                <w:lang w:val="de-CH"/>
              </w:rPr>
              <w:t>mL</w:t>
            </w:r>
            <w:proofErr w:type="spellEnd"/>
            <w:r w:rsidRPr="00247C7B" w:rsidR="002920F6">
              <w:rPr>
                <w:rFonts w:ascii="Arial Narrow" w:hAnsi="Arial Narrow"/>
                <w:sz w:val="22"/>
                <w:szCs w:val="22"/>
                <w:lang w:val="de-CH"/>
              </w:rPr>
              <w:t xml:space="preserve"> orale Lösung, zweimal täglich gewichtsadaptiert (z. B. 9–&lt;12 kg: 5 g BID; 50 kg +: 12 g BID; entsprechend 25–60 </w:t>
            </w:r>
            <w:proofErr w:type="spellStart"/>
            <w:r w:rsidRPr="00247C7B" w:rsidR="002920F6">
              <w:rPr>
                <w:rFonts w:ascii="Arial Narrow" w:hAnsi="Arial Narrow"/>
                <w:sz w:val="22"/>
                <w:szCs w:val="22"/>
                <w:lang w:val="de-CH"/>
              </w:rPr>
              <w:t>mL</w:t>
            </w:r>
            <w:proofErr w:type="spellEnd"/>
            <w:r w:rsidRPr="00247C7B" w:rsidR="002920F6">
              <w:rPr>
                <w:rFonts w:ascii="Arial Narrow" w:hAnsi="Arial Narrow"/>
                <w:sz w:val="22"/>
                <w:szCs w:val="22"/>
                <w:lang w:val="de-CH"/>
              </w:rPr>
              <w:t xml:space="preserve"> BID).</w:t>
            </w:r>
            <w:r w:rsidRPr="00247C7B" w:rsidR="003E7BEC">
              <w:rPr>
                <w:rFonts w:ascii="Arial Narrow" w:hAnsi="Arial Narrow"/>
                <w:sz w:val="22"/>
                <w:szCs w:val="22"/>
                <w:lang w:val="de-CH"/>
              </w:rPr>
              <w:t xml:space="preserve"> </w:t>
            </w:r>
          </w:p>
          <w:p w:rsidRPr="00247C7B" w:rsidR="00DB14F4" w:rsidP="0078272D" w:rsidRDefault="00015748" w14:paraId="7963021C" w14:textId="2762A629">
            <w:pPr>
              <w:rPr>
                <w:rFonts w:ascii="Arial Narrow" w:hAnsi="Arial Narrow"/>
                <w:sz w:val="22"/>
                <w:szCs w:val="22"/>
                <w:lang w:val="de-CH"/>
              </w:rPr>
            </w:pPr>
            <w:r w:rsidRPr="00247C7B">
              <w:rPr>
                <w:rFonts w:ascii="Arial Narrow" w:hAnsi="Arial Narrow"/>
                <w:sz w:val="22"/>
                <w:szCs w:val="22"/>
                <w:lang w:val="de-CH"/>
              </w:rPr>
              <w:t>Trofinetid</w:t>
            </w:r>
            <w:r w:rsidR="00BC4921">
              <w:rPr>
                <w:rFonts w:ascii="Arial Narrow" w:hAnsi="Arial Narrow"/>
                <w:sz w:val="22"/>
                <w:szCs w:val="22"/>
                <w:lang w:val="de-CH"/>
              </w:rPr>
              <w:t>e</w:t>
            </w:r>
            <w:r w:rsidRPr="00247C7B">
              <w:rPr>
                <w:rFonts w:ascii="Arial Narrow" w:hAnsi="Arial Narrow"/>
                <w:sz w:val="22"/>
                <w:szCs w:val="22"/>
                <w:lang w:val="de-CH"/>
              </w:rPr>
              <w:t xml:space="preserve"> k</w:t>
            </w:r>
            <w:r w:rsidRPr="00247C7B" w:rsidR="003E7BEC">
              <w:rPr>
                <w:rFonts w:ascii="Arial Narrow" w:hAnsi="Arial Narrow"/>
                <w:sz w:val="22"/>
                <w:szCs w:val="22"/>
                <w:lang w:val="de-CH"/>
              </w:rPr>
              <w:t>ann oral oder über eine Gastrostomie-Sonde (G) verabreicht werden</w:t>
            </w:r>
            <w:r w:rsidRPr="00247C7B" w:rsidR="00B50617">
              <w:rPr>
                <w:rFonts w:ascii="Arial Narrow" w:hAnsi="Arial Narrow"/>
                <w:sz w:val="22"/>
                <w:szCs w:val="22"/>
                <w:lang w:val="de-CH"/>
              </w:rPr>
              <w:t>.</w:t>
            </w:r>
            <w:r w:rsidRPr="00247C7B" w:rsidR="002920F6">
              <w:rPr>
                <w:rFonts w:ascii="Arial Narrow" w:hAnsi="Arial Narrow"/>
                <w:sz w:val="22"/>
                <w:szCs w:val="22"/>
                <w:lang w:val="de-CH"/>
              </w:rPr>
              <w:t xml:space="preserve"> Einnahme mit/ohne Nahrung; Dosisanpassungen bei moderater Niereninsuffizienz.</w:t>
            </w:r>
          </w:p>
          <w:p w:rsidRPr="00247C7B" w:rsidR="00736ECC" w:rsidP="0078272D" w:rsidRDefault="00736ECC" w14:paraId="7B0381A8" w14:textId="77777777">
            <w:pPr>
              <w:rPr>
                <w:rFonts w:ascii="Arial Narrow" w:hAnsi="Arial Narrow"/>
                <w:sz w:val="22"/>
                <w:szCs w:val="22"/>
                <w:lang w:val="de-CH"/>
              </w:rPr>
            </w:pPr>
          </w:p>
          <w:p w:rsidRPr="00247C7B" w:rsidR="00736ECC" w:rsidP="0078272D" w:rsidRDefault="00736ECC" w14:paraId="6BFD79DD" w14:textId="77777777">
            <w:pPr>
              <w:rPr>
                <w:rFonts w:ascii="Arial Narrow" w:hAnsi="Arial Narrow"/>
                <w:sz w:val="22"/>
                <w:szCs w:val="22"/>
                <w:lang w:val="de-CH"/>
              </w:rPr>
            </w:pPr>
            <w:r w:rsidRPr="00247C7B">
              <w:rPr>
                <w:rFonts w:ascii="Arial Narrow" w:hAnsi="Arial Narrow"/>
                <w:sz w:val="22"/>
                <w:szCs w:val="22"/>
                <w:lang w:val="de-CH"/>
              </w:rPr>
              <w:t xml:space="preserve">Quellen: </w:t>
            </w:r>
          </w:p>
          <w:p w:rsidRPr="00247C7B" w:rsidR="00736ECC" w:rsidP="008678F1" w:rsidRDefault="00736ECC" w14:paraId="69AF5E3C" w14:textId="53E4D3DA">
            <w:pPr>
              <w:pStyle w:val="Listenabsatz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lastRenderedPageBreak/>
              <w:t xml:space="preserve">Europäische Arzneimittel-Agentur (EMA). 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</w:rPr>
              <w:t>Orphan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</w:rPr>
              <w:t>-Designation EU/3/23/2884; PIP EMEA-003587-PIP01-24; MAA-Unterlagen.</w:t>
            </w:r>
          </w:p>
          <w:p w:rsidRPr="00247C7B" w:rsidR="00736ECC" w:rsidP="008678F1" w:rsidRDefault="00736ECC" w14:paraId="07BF0EB9" w14:textId="4687E8AB">
            <w:pPr>
              <w:pStyle w:val="Listenabsatz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47C7B">
              <w:rPr>
                <w:rFonts w:ascii="Arial Narrow" w:hAnsi="Arial Narrow"/>
                <w:sz w:val="22"/>
                <w:szCs w:val="22"/>
                <w:lang w:val="en-US"/>
              </w:rPr>
              <w:t xml:space="preserve">U.S. Food and Drug Administration (FDA). Prescribing Information &amp; Approval Letter. 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  <w:lang w:val="en-US"/>
              </w:rPr>
              <w:t>Verfügbar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  <w:lang w:val="en-US"/>
              </w:rPr>
              <w:t>unter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  <w:hyperlink w:tgtFrame="_new" w:history="1" r:id="rId10">
              <w:r w:rsidRPr="00247C7B">
                <w:rPr>
                  <w:rFonts w:ascii="Arial Narrow" w:hAnsi="Arial Narrow"/>
                  <w:color w:val="0000FF"/>
                  <w:sz w:val="22"/>
                  <w:szCs w:val="22"/>
                  <w:u w:val="single"/>
                  <w:lang w:val="en-US"/>
                </w:rPr>
                <w:t>https://www.accessdata.fda.gov/drugsatfda_docs/label/2023/217026s000lbl.pdf</w:t>
              </w:r>
            </w:hyperlink>
            <w:r w:rsidRPr="00247C7B">
              <w:rPr>
                <w:rFonts w:ascii="Arial Narrow" w:hAnsi="Arial Narrow"/>
                <w:sz w:val="22"/>
                <w:szCs w:val="22"/>
                <w:lang w:val="en-US"/>
              </w:rPr>
              <w:t>.</w:t>
            </w:r>
          </w:p>
          <w:p w:rsidR="00A049AC" w:rsidP="008678F1" w:rsidRDefault="00416F6E" w14:paraId="24C439AB" w14:textId="57735253">
            <w:pPr>
              <w:pStyle w:val="Listenabsatz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16F6E">
              <w:rPr>
                <w:rFonts w:ascii="Arial Narrow" w:hAnsi="Arial Narrow"/>
                <w:sz w:val="22"/>
                <w:szCs w:val="22"/>
                <w:lang w:val="en-US"/>
              </w:rPr>
              <w:t xml:space="preserve">Study of Trofinetide for the Treatment of Girls and Women </w:t>
            </w:r>
            <w:proofErr w:type="gramStart"/>
            <w:r w:rsidRPr="00416F6E">
              <w:rPr>
                <w:rFonts w:ascii="Arial Narrow" w:hAnsi="Arial Narrow"/>
                <w:sz w:val="22"/>
                <w:szCs w:val="22"/>
                <w:lang w:val="en-US"/>
              </w:rPr>
              <w:t>With</w:t>
            </w:r>
            <w:proofErr w:type="gramEnd"/>
            <w:r w:rsidRPr="00416F6E">
              <w:rPr>
                <w:rFonts w:ascii="Arial Narrow" w:hAnsi="Arial Narrow"/>
                <w:sz w:val="22"/>
                <w:szCs w:val="22"/>
                <w:lang w:val="en-US"/>
              </w:rPr>
              <w:t xml:space="preserve"> Rett Syndrome (LAVENDER™)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, </w:t>
            </w:r>
            <w:r w:rsidRPr="00A049AC" w:rsidR="00A049AC">
              <w:rPr>
                <w:rFonts w:ascii="Arial Narrow" w:hAnsi="Arial Narrow"/>
                <w:sz w:val="22"/>
                <w:szCs w:val="22"/>
                <w:lang w:val="en-US"/>
              </w:rPr>
              <w:t>https://clinicaltrials.gov/study/NCT04181723</w:t>
            </w:r>
          </w:p>
          <w:p w:rsidRPr="00247C7B" w:rsidR="00736ECC" w:rsidP="008678F1" w:rsidRDefault="00816072" w14:paraId="0E5E57EE" w14:textId="0895AEBE">
            <w:pPr>
              <w:pStyle w:val="Listenabsatz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Neul </w:t>
            </w:r>
            <w:r w:rsidR="00D81CE7">
              <w:rPr>
                <w:rFonts w:ascii="Arial Narrow" w:hAnsi="Arial Narrow"/>
                <w:sz w:val="22"/>
                <w:szCs w:val="22"/>
                <w:lang w:val="en-US"/>
              </w:rPr>
              <w:t>JL</w:t>
            </w:r>
            <w:r w:rsidRPr="00247C7B" w:rsidR="00736ECC">
              <w:rPr>
                <w:rFonts w:ascii="Arial Narrow" w:hAnsi="Arial Narrow"/>
                <w:sz w:val="22"/>
                <w:szCs w:val="22"/>
                <w:lang w:val="en-US"/>
              </w:rPr>
              <w:t xml:space="preserve">., et al. (2023). </w:t>
            </w:r>
            <w:r w:rsidRPr="00D20B08" w:rsidR="00D20B08">
              <w:rPr>
                <w:rFonts w:ascii="Arial Narrow" w:hAnsi="Arial Narrow"/>
                <w:i/>
                <w:iCs/>
                <w:sz w:val="22"/>
                <w:szCs w:val="22"/>
                <w:lang w:val="en-US"/>
              </w:rPr>
              <w:t>Trofinetide for the treatment of Rett syndrome: a randomized phase 3 study</w:t>
            </w:r>
            <w:r w:rsidRPr="00247C7B" w:rsidR="00736ECC">
              <w:rPr>
                <w:rFonts w:ascii="Arial Narrow" w:hAnsi="Arial Narrow"/>
                <w:sz w:val="22"/>
                <w:szCs w:val="22"/>
                <w:lang w:val="en-US"/>
              </w:rPr>
              <w:t xml:space="preserve">. </w:t>
            </w:r>
            <w:r w:rsidRPr="00247C7B" w:rsidR="00736ECC">
              <w:rPr>
                <w:rFonts w:ascii="Arial Narrow" w:hAnsi="Arial Narrow"/>
                <w:i/>
                <w:iCs/>
                <w:sz w:val="22"/>
                <w:szCs w:val="22"/>
                <w:lang w:val="en-US"/>
              </w:rPr>
              <w:t>Nature Medicine</w:t>
            </w:r>
            <w:r w:rsidRPr="00247C7B" w:rsidR="00736ECC">
              <w:rPr>
                <w:rFonts w:ascii="Arial Narrow" w:hAnsi="Arial Narrow"/>
                <w:sz w:val="22"/>
                <w:szCs w:val="22"/>
                <w:lang w:val="en-US"/>
              </w:rPr>
              <w:t>. https://doi.org/10.1038/s41591-023-02398-1</w:t>
            </w:r>
          </w:p>
          <w:p w:rsidRPr="00247C7B" w:rsidR="00736ECC" w:rsidP="008678F1" w:rsidRDefault="00736ECC" w14:paraId="0AF79188" w14:textId="4145C3DD">
            <w:pPr>
              <w:pStyle w:val="Listenabsatz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 xml:space="preserve">Acadia Pharmaceuticals. Fachinformationen und Pressemitteilungen. Verfügbar unter: </w:t>
            </w:r>
            <w:hyperlink w:tgtFrame="_new" w:history="1" r:id="rId11">
              <w:r w:rsidRPr="00247C7B">
                <w:rPr>
                  <w:rFonts w:ascii="Arial Narrow" w:hAnsi="Arial Narrow"/>
                  <w:color w:val="0000FF"/>
                  <w:sz w:val="22"/>
                  <w:szCs w:val="22"/>
                  <w:u w:val="single"/>
                </w:rPr>
                <w:t>https://acadia.com/en-us/media/news-releases/acadia-pharmaceuticals-submits-marketing-authorization</w:t>
              </w:r>
            </w:hyperlink>
            <w:r w:rsidRPr="00247C7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</w:tbl>
    <w:p w:rsidRPr="00247C7B" w:rsidR="008E6675" w:rsidP="005638EB" w:rsidRDefault="008E6675" w14:paraId="6F81F951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73F33158" w14:textId="77777777">
        <w:tc>
          <w:tcPr>
            <w:tcW w:w="9212" w:type="dxa"/>
          </w:tcPr>
          <w:p w:rsidRPr="00EC71AB" w:rsidR="008E6675" w:rsidP="005638EB" w:rsidRDefault="008E6675" w14:paraId="684681EC" w14:textId="7F246CC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Mit welchem OPS wird die Methode verschlüsselt?</w:t>
            </w:r>
          </w:p>
        </w:tc>
      </w:tr>
      <w:tr w:rsidRPr="00EC71AB" w:rsidR="008E6675" w14:paraId="5C95386E" w14:textId="77777777">
        <w:tc>
          <w:tcPr>
            <w:tcW w:w="9212" w:type="dxa"/>
          </w:tcPr>
          <w:p w:rsidRPr="00247C7B" w:rsidR="00CA1E05" w:rsidP="00CA1E05" w:rsidRDefault="00CA1E05" w14:paraId="51E43DF6" w14:textId="77777777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>[</w:t>
            </w:r>
            <w:r w:rsidRPr="00247C7B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Bitte ankreuzen: Derzeit sind keine 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  <w:highlight w:val="yellow"/>
              </w:rPr>
              <w:t>Prozedurencodes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(OPS) verfügbar.</w:t>
            </w:r>
            <w:r w:rsidRPr="00247C7B">
              <w:rPr>
                <w:rFonts w:ascii="Arial Narrow" w:hAnsi="Arial Narrow"/>
                <w:sz w:val="22"/>
                <w:szCs w:val="22"/>
              </w:rPr>
              <w:t>]</w:t>
            </w:r>
          </w:p>
          <w:p w:rsidRPr="00247C7B" w:rsidR="00CC7E5F" w:rsidP="00435583" w:rsidRDefault="00CC7E5F" w14:paraId="276EB151" w14:textId="6B9F4A1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Pr="00247C7B" w:rsidR="00DC6CBD" w:rsidP="00EE0D0B" w:rsidRDefault="00DC6CBD" w14:paraId="63A2C327" w14:textId="77777777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4C4F82" w:rsidTr="0036178C" w14:paraId="1C363EAC" w14:textId="77777777">
        <w:tc>
          <w:tcPr>
            <w:tcW w:w="9212" w:type="dxa"/>
          </w:tcPr>
          <w:p w:rsidRPr="00EC71AB" w:rsidR="004C4F82" w:rsidP="0036178C" w:rsidRDefault="002333FF" w14:paraId="76259E49" w14:textId="0E1E9B3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Anmerkungen zu den Proz</w:t>
            </w:r>
            <w:r w:rsidRPr="00247C7B" w:rsidR="004C4F82">
              <w:rPr>
                <w:rFonts w:ascii="Arial Narrow" w:hAnsi="Arial Narrow"/>
                <w:b/>
                <w:sz w:val="22"/>
                <w:szCs w:val="22"/>
              </w:rPr>
              <w:t>eduren</w:t>
            </w:r>
          </w:p>
        </w:tc>
      </w:tr>
      <w:tr w:rsidRPr="00EC71AB" w:rsidR="004C4F82" w:rsidTr="0036178C" w14:paraId="131FE40C" w14:textId="77777777">
        <w:tc>
          <w:tcPr>
            <w:tcW w:w="9212" w:type="dxa"/>
          </w:tcPr>
          <w:p w:rsidRPr="00247C7B" w:rsidR="004C4F82" w:rsidP="00435583" w:rsidRDefault="004C4F82" w14:paraId="48201DB1" w14:textId="58EA4CF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Pr="00247C7B" w:rsidR="004C4F82" w:rsidP="005638EB" w:rsidRDefault="004C4F82" w14:paraId="497C648B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:rsidTr="736FCA06" w14:paraId="1C579B85" w14:textId="77777777">
        <w:tc>
          <w:tcPr>
            <w:tcW w:w="9212" w:type="dxa"/>
            <w:tcMar/>
          </w:tcPr>
          <w:p w:rsidRPr="00EC71AB" w:rsidR="008E6675" w:rsidP="005638EB" w:rsidRDefault="008E6675" w14:paraId="442A0D93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Bei welchen Patienten wird die Methode angewandt (Indikation)?</w:t>
            </w:r>
          </w:p>
        </w:tc>
      </w:tr>
      <w:tr w:rsidRPr="00EC71AB" w:rsidR="008E6675" w:rsidTr="736FCA06" w14:paraId="158F0243" w14:textId="77777777">
        <w:tc>
          <w:tcPr>
            <w:tcW w:w="9212" w:type="dxa"/>
            <w:tcMar/>
          </w:tcPr>
          <w:p w:rsidRPr="00247C7B" w:rsidR="008E6675" w:rsidP="00C11458" w:rsidRDefault="002334EC" w14:paraId="606B75B1" w14:textId="6EA27AF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736FCA06" w:rsidR="002334EC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>Trofinetid</w:t>
            </w:r>
            <w:r w:rsidRPr="736FCA06" w:rsidR="003602A4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>e</w:t>
            </w:r>
            <w:r w:rsidRPr="736FCA06" w:rsidR="002334EC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 xml:space="preserve"> ist</w:t>
            </w:r>
            <w:r w:rsidRPr="736FCA06" w:rsidR="41DE8E0F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 xml:space="preserve"> laut US Fachinformation</w:t>
            </w:r>
            <w:r w:rsidRPr="736FCA06" w:rsidR="002334EC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 xml:space="preserve"> indiziert zur Behandlung des </w:t>
            </w:r>
            <w:r w:rsidRPr="736FCA06" w:rsidR="002334EC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>Rett</w:t>
            </w:r>
            <w:r w:rsidRPr="736FCA06" w:rsidR="002334EC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>-Syndroms bei Patientinnen und Patienten ab einem Alter von 2 Jahren. Betroffen sind überwiegend Mädchen und Frauen</w:t>
            </w:r>
            <w:r w:rsidRPr="736FCA06" w:rsidR="00394B39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36FCA06" w:rsidR="002334EC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>mit pathogenen Mutationen im MECP2-Gen, die nach initial normaler Entwicklung charakteristische Entwicklungsverluste, neurologische und funktionelle Einschränkungen aufweisen</w:t>
            </w:r>
            <w:r w:rsidRPr="736FCA06" w:rsidR="00394B39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 xml:space="preserve"> In Einzelfällen sind auch Jungen betroffen</w:t>
            </w:r>
            <w:r w:rsidRPr="736FCA06" w:rsidR="002334EC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>. Ziel der Behandlung ist eine Verbesserung von Kommunikation, Motorik und Alltagsfunktionen sowie eine Stabilisierung des Krankheitsverlaufs. Trofinetid</w:t>
            </w:r>
            <w:r w:rsidRPr="736FCA06" w:rsidR="003602A4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>e</w:t>
            </w:r>
            <w:r w:rsidRPr="736FCA06" w:rsidR="002334EC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 xml:space="preserve"> ist sowohl in den USA als auch in der Europäischen Union als </w:t>
            </w:r>
            <w:r w:rsidRPr="736FCA06" w:rsidR="002334EC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>Orphan</w:t>
            </w:r>
            <w:r w:rsidRPr="736FCA06" w:rsidR="002334EC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 xml:space="preserve"> Drug für das </w:t>
            </w:r>
            <w:r w:rsidRPr="736FCA06" w:rsidR="002334EC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>Rett</w:t>
            </w:r>
            <w:r w:rsidRPr="736FCA06" w:rsidR="002334EC">
              <w:rPr>
                <w:rFonts w:ascii="Arial Narrow" w:hAnsi="Arial Narrow"/>
                <w:color w:val="000000" w:themeColor="text1" w:themeTint="FF" w:themeShade="FF"/>
                <w:sz w:val="22"/>
                <w:szCs w:val="22"/>
              </w:rPr>
              <w:t>-Syndrom eingestuft.</w:t>
            </w:r>
          </w:p>
        </w:tc>
      </w:tr>
    </w:tbl>
    <w:p w:rsidRPr="00247C7B" w:rsidR="008E6675" w:rsidP="005638EB" w:rsidRDefault="008E6675" w14:paraId="2A567A97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544A3AED" w14:textId="77777777">
        <w:trPr>
          <w:trHeight w:val="234"/>
        </w:trPr>
        <w:tc>
          <w:tcPr>
            <w:tcW w:w="9212" w:type="dxa"/>
          </w:tcPr>
          <w:p w:rsidRPr="00EC71AB" w:rsidR="008E6675" w:rsidP="005638EB" w:rsidRDefault="008E6675" w14:paraId="52A9B9D0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Welche bestehende Methode wird durch die neue Methode abgelöst oder ergänzt?</w:t>
            </w:r>
          </w:p>
        </w:tc>
      </w:tr>
      <w:tr w:rsidRPr="00EC71AB" w:rsidR="008E6675" w14:paraId="6B0057FA" w14:textId="77777777">
        <w:tc>
          <w:tcPr>
            <w:tcW w:w="9212" w:type="dxa"/>
          </w:tcPr>
          <w:p w:rsidRPr="00247C7B" w:rsidR="008E6675" w:rsidP="008C1686" w:rsidRDefault="00F33A99" w14:paraId="3EC3722F" w14:textId="56D88B31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 xml:space="preserve">Bislang erfolgt die Behandlung des 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</w:rPr>
              <w:t>Rett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</w:rPr>
              <w:t>-Syndroms ausschließlich symptomorientiert (z. B. Antiepileptika, Physiotherapie, supportive Maßnahmen), ohne dass eine zugelassene kausale oder krankheitsspezifische Therapie verfügbar ist. Mit Trofinetid</w:t>
            </w:r>
            <w:r w:rsidR="003602A4">
              <w:rPr>
                <w:rFonts w:ascii="Arial Narrow" w:hAnsi="Arial Narrow"/>
                <w:sz w:val="22"/>
                <w:szCs w:val="22"/>
              </w:rPr>
              <w:t>e</w:t>
            </w:r>
            <w:r w:rsidRPr="00247C7B">
              <w:rPr>
                <w:rFonts w:ascii="Arial Narrow" w:hAnsi="Arial Narrow"/>
                <w:sz w:val="22"/>
                <w:szCs w:val="22"/>
              </w:rPr>
              <w:t xml:space="preserve"> steht erstmals ein 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</w:rPr>
              <w:t>Orphan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</w:rPr>
              <w:t xml:space="preserve"> Drug zur Verfügung, das als krankheitsspezifische Therapie die bisherigen rein symptomatischen Maßnahmen ergänzt und in Teilen ablöst.</w:t>
            </w:r>
          </w:p>
        </w:tc>
      </w:tr>
    </w:tbl>
    <w:p w:rsidRPr="00247C7B" w:rsidR="008E6675" w:rsidP="005638EB" w:rsidRDefault="008E6675" w14:paraId="073C0909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3CC85E94" w14:textId="77777777">
        <w:tc>
          <w:tcPr>
            <w:tcW w:w="9212" w:type="dxa"/>
          </w:tcPr>
          <w:p w:rsidRPr="00EC71AB" w:rsidR="008E6675" w:rsidP="00E92C57" w:rsidRDefault="008E6675" w14:paraId="25335173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Ist die Methode vollständig oder in Teilen neu und warum handelt es sich um eine neue Untersuchungs- und Behandlungsmethode?</w:t>
            </w:r>
          </w:p>
        </w:tc>
      </w:tr>
      <w:tr w:rsidRPr="00EC71AB" w:rsidR="008E6675" w14:paraId="402C1327" w14:textId="77777777">
        <w:tc>
          <w:tcPr>
            <w:tcW w:w="9212" w:type="dxa"/>
          </w:tcPr>
          <w:p w:rsidRPr="00247C7B" w:rsidR="008E6675" w:rsidP="00C11458" w:rsidRDefault="00E9088F" w14:paraId="6B1FDB47" w14:textId="39E18FAD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 xml:space="preserve">Die Methode ist als vollständig neu einzustufen. Bislang stehen für das 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</w:rPr>
              <w:t>Rett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</w:rPr>
              <w:t>-Syndrom ausschließlich symptomorientierte Maßnahmen ohne zugelassene krankheitsspezifische Therapieoption zur Verfügung. Trofinetid</w:t>
            </w:r>
            <w:r w:rsidR="003602A4">
              <w:rPr>
                <w:rFonts w:ascii="Arial Narrow" w:hAnsi="Arial Narrow"/>
                <w:sz w:val="22"/>
                <w:szCs w:val="22"/>
              </w:rPr>
              <w:t>e</w:t>
            </w:r>
            <w:r w:rsidRPr="00247C7B">
              <w:rPr>
                <w:rFonts w:ascii="Arial Narrow" w:hAnsi="Arial Narrow"/>
                <w:sz w:val="22"/>
                <w:szCs w:val="22"/>
              </w:rPr>
              <w:t xml:space="preserve"> ist das erste Arzneimittel mit spezifischer Indikation für das </w:t>
            </w:r>
            <w:proofErr w:type="spellStart"/>
            <w:r w:rsidRPr="00247C7B">
              <w:rPr>
                <w:rFonts w:ascii="Arial Narrow" w:hAnsi="Arial Narrow"/>
                <w:sz w:val="22"/>
                <w:szCs w:val="22"/>
              </w:rPr>
              <w:t>Rett</w:t>
            </w:r>
            <w:proofErr w:type="spellEnd"/>
            <w:r w:rsidRPr="00247C7B">
              <w:rPr>
                <w:rFonts w:ascii="Arial Narrow" w:hAnsi="Arial Narrow"/>
                <w:sz w:val="22"/>
                <w:szCs w:val="22"/>
              </w:rPr>
              <w:t>-Syndrom und adressiert pathophysiologische Mechanismen der Erkrankung. Damit handelt es sich um eine neue Untersuchungs- und Behandlungsmethode im Sinne der NUB-Kriterien.</w:t>
            </w:r>
          </w:p>
        </w:tc>
      </w:tr>
    </w:tbl>
    <w:p w:rsidRPr="00247C7B" w:rsidR="008E6675" w:rsidP="005638EB" w:rsidRDefault="008E6675" w14:paraId="75E7896B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7DEA2055" w14:textId="77777777">
        <w:tc>
          <w:tcPr>
            <w:tcW w:w="9212" w:type="dxa"/>
          </w:tcPr>
          <w:p w:rsidRPr="00EC71AB" w:rsidR="008E6675" w:rsidP="005638EB" w:rsidRDefault="008E6675" w14:paraId="4E8FCE4C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Welche Auswirkungen hat die Methode auf die Verweildauer im Krankenhaus?</w:t>
            </w:r>
          </w:p>
        </w:tc>
      </w:tr>
      <w:tr w:rsidRPr="00EC71AB" w:rsidR="008E6675" w14:paraId="5C15DE82" w14:textId="77777777">
        <w:trPr>
          <w:trHeight w:val="264"/>
        </w:trPr>
        <w:tc>
          <w:tcPr>
            <w:tcW w:w="9212" w:type="dxa"/>
          </w:tcPr>
          <w:p w:rsidRPr="00EC71AB" w:rsidR="00A530BE" w:rsidP="005638EB" w:rsidRDefault="00FE1A69" w14:paraId="19E75E35" w14:textId="2100668B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 xml:space="preserve">Zur Veränderung der Verweildauer im Krankenhaus können derzeit aufgrund fehlender praktischer Erfahrungen keine belastbaren Aussagen gemacht werden. Erste Erkenntnisse aus den klinischen Studien beziehen sich </w:t>
            </w:r>
            <w:r w:rsidRPr="00247C7B">
              <w:rPr>
                <w:rFonts w:ascii="Arial Narrow" w:hAnsi="Arial Narrow"/>
                <w:sz w:val="22"/>
                <w:szCs w:val="22"/>
              </w:rPr>
              <w:lastRenderedPageBreak/>
              <w:t>primär auf Wirksamkeit und Sicherheit unter ambulanten bzw. Studienbedingungen, sodass eine Übertragbarkeit auf die stationäre Versorgungssituation aktuell nicht möglich ist.</w:t>
            </w:r>
          </w:p>
        </w:tc>
      </w:tr>
    </w:tbl>
    <w:p w:rsidRPr="00247C7B" w:rsidR="008E6675" w:rsidP="005638EB" w:rsidRDefault="008E6675" w14:paraId="4E061776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6BCFFEC8" w14:textId="77777777">
        <w:tc>
          <w:tcPr>
            <w:tcW w:w="9212" w:type="dxa"/>
          </w:tcPr>
          <w:p w:rsidRPr="00EC71AB" w:rsidR="008E6675" w:rsidP="005638EB" w:rsidRDefault="008E6675" w14:paraId="5ABEFBD5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Wann wurde diese Methode in Deutschland eingeführt?</w:t>
            </w:r>
          </w:p>
        </w:tc>
      </w:tr>
      <w:tr w:rsidRPr="00EC71AB" w:rsidR="008E6675" w14:paraId="0DF8F781" w14:textId="77777777">
        <w:tc>
          <w:tcPr>
            <w:tcW w:w="9212" w:type="dxa"/>
          </w:tcPr>
          <w:p w:rsidRPr="00247C7B" w:rsidR="00D14350" w:rsidP="00C112A6" w:rsidRDefault="006F178B" w14:paraId="256E27C8" w14:textId="2A14F934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>Die Methode wurde in Deutschland bislang nicht eingeführt, da Trofinetid</w:t>
            </w:r>
            <w:r w:rsidR="007F3C9F">
              <w:rPr>
                <w:rFonts w:ascii="Arial Narrow" w:hAnsi="Arial Narrow"/>
                <w:color w:val="000000" w:themeColor="text1"/>
                <w:sz w:val="22"/>
                <w:szCs w:val="22"/>
              </w:rPr>
              <w:t>e</w:t>
            </w:r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in der Europäischen Union noch nicht zugelassen ist (Zulassungsantrag bei der EMA im Januar 2025 eingereicht). Eine Einführung in Deutschland ist nach erfolgter EMA-Zulassung</w:t>
            </w:r>
            <w:r w:rsidRPr="00247C7B" w:rsidR="003B413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(</w:t>
            </w:r>
            <w:r w:rsidR="00D477B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voraussichtlich </w:t>
            </w:r>
            <w:r w:rsidRPr="00247C7B" w:rsidR="003B413A">
              <w:rPr>
                <w:rFonts w:ascii="Arial Narrow" w:hAnsi="Arial Narrow"/>
                <w:color w:val="000000" w:themeColor="text1"/>
                <w:sz w:val="22"/>
                <w:szCs w:val="22"/>
              </w:rPr>
              <w:t>Q1</w:t>
            </w:r>
            <w:r w:rsidR="00D477B7">
              <w:rPr>
                <w:rFonts w:ascii="Arial Narrow" w:hAnsi="Arial Narrow"/>
                <w:color w:val="000000" w:themeColor="text1"/>
                <w:sz w:val="22"/>
                <w:szCs w:val="22"/>
              </w:rPr>
              <w:t>/Q2</w:t>
            </w:r>
            <w:r w:rsidRPr="00247C7B" w:rsidR="003B413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2026)</w:t>
            </w:r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zu erwarten.</w:t>
            </w:r>
          </w:p>
        </w:tc>
      </w:tr>
    </w:tbl>
    <w:p w:rsidRPr="00247C7B" w:rsidR="008E6675" w:rsidP="005638EB" w:rsidRDefault="008E6675" w14:paraId="233BCD28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7DE956DB" w14:textId="77777777">
        <w:tc>
          <w:tcPr>
            <w:tcW w:w="9212" w:type="dxa"/>
          </w:tcPr>
          <w:p w:rsidRPr="00EC71AB" w:rsidR="008E6675" w:rsidP="005638EB" w:rsidRDefault="008E6675" w14:paraId="483A4156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Bei Medikamenten: Wann wurde dieses Medikament zugelassen?</w:t>
            </w:r>
          </w:p>
        </w:tc>
      </w:tr>
      <w:tr w:rsidRPr="00EC71AB" w:rsidR="008E6675" w14:paraId="1264FF24" w14:textId="77777777">
        <w:tc>
          <w:tcPr>
            <w:tcW w:w="9212" w:type="dxa"/>
          </w:tcPr>
          <w:p w:rsidRPr="00247C7B" w:rsidR="00044597" w:rsidP="00C112A6" w:rsidRDefault="00991441" w14:paraId="7BB60EDC" w14:textId="05D2A398">
            <w:pPr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>Trofinetid</w:t>
            </w:r>
            <w:r w:rsidR="007F3C9F">
              <w:rPr>
                <w:rFonts w:ascii="Arial Narrow" w:hAnsi="Arial Narrow"/>
                <w:color w:val="000000" w:themeColor="text1"/>
                <w:sz w:val="22"/>
                <w:szCs w:val="22"/>
              </w:rPr>
              <w:t>e</w:t>
            </w:r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wurde am 10. März 2023 von der FDA in den USA zur Behandlung des </w:t>
            </w:r>
            <w:proofErr w:type="spellStart"/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>Rett</w:t>
            </w:r>
            <w:proofErr w:type="spellEnd"/>
            <w:r w:rsidRPr="00247C7B">
              <w:rPr>
                <w:rFonts w:ascii="Arial Narrow" w:hAnsi="Arial Narrow"/>
                <w:color w:val="000000" w:themeColor="text1"/>
                <w:sz w:val="22"/>
                <w:szCs w:val="22"/>
              </w:rPr>
              <w:t>-Syndroms bei Patientinnen und Patienten ab 2 Jahren zugelassen. In Europa wurde im Januar 2025 ein Zulassungsantrag bei der EMA eingereicht; eine Entscheidung steht noch aus.</w:t>
            </w:r>
          </w:p>
        </w:tc>
      </w:tr>
    </w:tbl>
    <w:p w:rsidRPr="00247C7B" w:rsidR="008E6675" w:rsidP="005638EB" w:rsidRDefault="008E6675" w14:paraId="479CCD3D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24374391" w14:textId="77777777">
        <w:tc>
          <w:tcPr>
            <w:tcW w:w="9212" w:type="dxa"/>
          </w:tcPr>
          <w:p w:rsidRPr="00EC71AB" w:rsidR="008E6675" w:rsidP="005638EB" w:rsidRDefault="008E6675" w14:paraId="657A69BC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 xml:space="preserve">Wann wurde </w:t>
            </w:r>
            <w:r w:rsidRPr="00247C7B" w:rsidR="002333FF">
              <w:rPr>
                <w:rFonts w:ascii="Arial Narrow" w:hAnsi="Arial Narrow"/>
                <w:b/>
                <w:sz w:val="22"/>
                <w:szCs w:val="22"/>
              </w:rPr>
              <w:t xml:space="preserve">bzw. wird </w:t>
            </w:r>
            <w:r w:rsidRPr="00247C7B">
              <w:rPr>
                <w:rFonts w:ascii="Arial Narrow" w:hAnsi="Arial Narrow"/>
                <w:b/>
                <w:sz w:val="22"/>
                <w:szCs w:val="22"/>
              </w:rPr>
              <w:t>die Methode in Ihrem Krankenhaus eingeführt?</w:t>
            </w:r>
          </w:p>
        </w:tc>
      </w:tr>
      <w:tr w:rsidRPr="00EC71AB" w:rsidR="008E6675" w14:paraId="4BC61AB6" w14:textId="77777777">
        <w:tc>
          <w:tcPr>
            <w:tcW w:w="9212" w:type="dxa"/>
          </w:tcPr>
          <w:p w:rsidRPr="00EC71AB" w:rsidR="008E6675" w:rsidP="005638EB" w:rsidRDefault="0001154A" w14:paraId="7727C539" w14:textId="405AA6C3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>Die Markteinführung von Trofinetid</w:t>
            </w:r>
            <w:r w:rsidR="007F3C9F">
              <w:rPr>
                <w:rFonts w:ascii="Arial Narrow" w:hAnsi="Arial Narrow"/>
                <w:sz w:val="22"/>
                <w:szCs w:val="22"/>
              </w:rPr>
              <w:t>e</w:t>
            </w:r>
            <w:r w:rsidRPr="00247C7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47C7B" w:rsidR="0002604D">
              <w:rPr>
                <w:rFonts w:ascii="Arial Narrow" w:hAnsi="Arial Narrow"/>
                <w:sz w:val="22"/>
                <w:szCs w:val="22"/>
              </w:rPr>
              <w:t>in Deutschland soll im Q1</w:t>
            </w:r>
            <w:r w:rsidR="007F3C9F">
              <w:rPr>
                <w:rFonts w:ascii="Arial Narrow" w:hAnsi="Arial Narrow"/>
                <w:sz w:val="22"/>
                <w:szCs w:val="22"/>
              </w:rPr>
              <w:t>/Q2</w:t>
            </w:r>
            <w:r w:rsidRPr="00247C7B" w:rsidR="0002604D">
              <w:rPr>
                <w:rFonts w:ascii="Arial Narrow" w:hAnsi="Arial Narrow"/>
                <w:sz w:val="22"/>
                <w:szCs w:val="22"/>
              </w:rPr>
              <w:t xml:space="preserve"> 2026 erfolgen</w:t>
            </w:r>
            <w:r w:rsidR="00E9370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</w:tbl>
    <w:p w:rsidRPr="00247C7B" w:rsidR="008E6675" w:rsidP="005638EB" w:rsidRDefault="008E6675" w14:paraId="09FB8D77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3D6635CC" w14:textId="77777777">
        <w:tc>
          <w:tcPr>
            <w:tcW w:w="9212" w:type="dxa"/>
          </w:tcPr>
          <w:p w:rsidRPr="00EC71AB" w:rsidR="008E6675" w:rsidP="005638EB" w:rsidRDefault="008E6675" w14:paraId="126EBD70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In wie vielen Kliniken wird diese Methode derzeit eingesetzt (Schätzung)?</w:t>
            </w:r>
          </w:p>
        </w:tc>
      </w:tr>
      <w:tr w:rsidRPr="00EC71AB" w:rsidR="008E6675" w14:paraId="4C00526F" w14:textId="77777777">
        <w:tc>
          <w:tcPr>
            <w:tcW w:w="9212" w:type="dxa"/>
          </w:tcPr>
          <w:p w:rsidRPr="00247C7B" w:rsidR="00D929E1" w:rsidP="00C112A6" w:rsidRDefault="004F7E8B" w14:paraId="21DD9094" w14:textId="165CF4A9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>In Deutschland wird die Methode derzeit nicht eingesetzt, da noch keine EMA-Zulassung vorliegt. Der Einsatz beschränkt sich aktuell auf die USA nach FDA-Zulassung (März 2023). Nach erfolgter EU-Zulassung ist in Deutschland mit einer Anwendung zunächst in wenigen hochspezialisierten neuropädiatrischen Zentren zu rechnen.</w:t>
            </w:r>
          </w:p>
        </w:tc>
      </w:tr>
    </w:tbl>
    <w:p w:rsidRPr="00247C7B" w:rsidR="008E6675" w:rsidP="005638EB" w:rsidRDefault="008E6675" w14:paraId="43674FE7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2BCF6BA3" w14:textId="77777777">
        <w:tc>
          <w:tcPr>
            <w:tcW w:w="9212" w:type="dxa"/>
          </w:tcPr>
          <w:p w:rsidRPr="00EC71AB" w:rsidR="008E6675" w:rsidP="00285AE4" w:rsidRDefault="008E6675" w14:paraId="6D713A1D" w14:textId="77BBBC1B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Wie viele Patienten wur</w:t>
            </w:r>
            <w:r w:rsidRPr="00247C7B" w:rsidR="000953D2">
              <w:rPr>
                <w:rFonts w:ascii="Arial Narrow" w:hAnsi="Arial Narrow"/>
                <w:b/>
                <w:sz w:val="22"/>
                <w:szCs w:val="22"/>
              </w:rPr>
              <w:t xml:space="preserve">den in Ihrem Krankenhaus </w:t>
            </w:r>
            <w:proofErr w:type="gramStart"/>
            <w:r w:rsidRPr="00247C7B" w:rsidR="000953D2">
              <w:rPr>
                <w:rFonts w:ascii="Arial Narrow" w:hAnsi="Arial Narrow"/>
                <w:b/>
                <w:sz w:val="22"/>
                <w:szCs w:val="22"/>
              </w:rPr>
              <w:t>in 202</w:t>
            </w:r>
            <w:r w:rsidRPr="00247C7B" w:rsidR="004F7E8B">
              <w:rPr>
                <w:rFonts w:ascii="Arial Narrow" w:hAnsi="Arial Narrow"/>
                <w:b/>
                <w:sz w:val="22"/>
                <w:szCs w:val="22"/>
              </w:rPr>
              <w:t>4</w:t>
            </w:r>
            <w:proofErr w:type="gramEnd"/>
            <w:r w:rsidRPr="00247C7B" w:rsidR="000953D2">
              <w:rPr>
                <w:rFonts w:ascii="Arial Narrow" w:hAnsi="Arial Narrow"/>
                <w:b/>
                <w:sz w:val="22"/>
                <w:szCs w:val="22"/>
              </w:rPr>
              <w:t xml:space="preserve"> oder </w:t>
            </w:r>
            <w:proofErr w:type="gramStart"/>
            <w:r w:rsidRPr="00247C7B" w:rsidR="000953D2">
              <w:rPr>
                <w:rFonts w:ascii="Arial Narrow" w:hAnsi="Arial Narrow"/>
                <w:b/>
                <w:sz w:val="22"/>
                <w:szCs w:val="22"/>
              </w:rPr>
              <w:t>in 202</w:t>
            </w:r>
            <w:r w:rsidRPr="00247C7B" w:rsidR="004F7E8B">
              <w:rPr>
                <w:rFonts w:ascii="Arial Narrow" w:hAnsi="Arial Narrow"/>
                <w:b/>
                <w:sz w:val="22"/>
                <w:szCs w:val="22"/>
              </w:rPr>
              <w:t>5</w:t>
            </w:r>
            <w:proofErr w:type="gramEnd"/>
            <w:r w:rsidRPr="00247C7B">
              <w:rPr>
                <w:rFonts w:ascii="Arial Narrow" w:hAnsi="Arial Narrow"/>
                <w:b/>
                <w:sz w:val="22"/>
                <w:szCs w:val="22"/>
              </w:rPr>
              <w:t xml:space="preserve"> mit dieser Methode behandelt?</w:t>
            </w:r>
          </w:p>
        </w:tc>
      </w:tr>
      <w:tr w:rsidRPr="00EC71AB" w:rsidR="008E6675" w14:paraId="5CCFBAD3" w14:textId="77777777">
        <w:tc>
          <w:tcPr>
            <w:tcW w:w="9212" w:type="dxa"/>
          </w:tcPr>
          <w:p w:rsidRPr="00247C7B" w:rsidR="008E6675" w:rsidP="00285AE4" w:rsidRDefault="008E6675" w14:paraId="4F6124DB" w14:textId="54686748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 xml:space="preserve">In </w:t>
            </w:r>
            <w:r w:rsidRPr="00247C7B" w:rsidR="000953D2">
              <w:rPr>
                <w:rFonts w:ascii="Arial Narrow" w:hAnsi="Arial Narrow"/>
                <w:sz w:val="22"/>
                <w:szCs w:val="22"/>
              </w:rPr>
              <w:t>202</w:t>
            </w:r>
            <w:r w:rsidRPr="00247C7B" w:rsidR="00E004C9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Pr="00EC71AB" w:rsidR="00983554" w14:paraId="1992E6A2" w14:textId="77777777">
        <w:tc>
          <w:tcPr>
            <w:tcW w:w="9212" w:type="dxa"/>
          </w:tcPr>
          <w:p w:rsidRPr="00EC71AB" w:rsidR="00983554" w:rsidP="0036178C" w:rsidRDefault="00ED2B11" w14:paraId="283F259E" w14:textId="7CBB8535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  <w:highlight w:val="yellow"/>
              </w:rPr>
              <w:t>[bitte ergänzen]</w:t>
            </w:r>
          </w:p>
        </w:tc>
      </w:tr>
      <w:tr w:rsidRPr="00EC71AB" w:rsidR="008E6675" w14:paraId="175E4977" w14:textId="77777777">
        <w:tc>
          <w:tcPr>
            <w:tcW w:w="9212" w:type="dxa"/>
          </w:tcPr>
          <w:p w:rsidRPr="00247C7B" w:rsidR="008E6675" w:rsidP="00285AE4" w:rsidRDefault="008E6675" w14:paraId="33A68C3A" w14:textId="287AB8C0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 xml:space="preserve">In </w:t>
            </w:r>
            <w:r w:rsidRPr="00247C7B" w:rsidR="000953D2">
              <w:rPr>
                <w:rFonts w:ascii="Arial Narrow" w:hAnsi="Arial Narrow"/>
                <w:sz w:val="22"/>
                <w:szCs w:val="22"/>
              </w:rPr>
              <w:t>202</w:t>
            </w:r>
            <w:r w:rsidRPr="00247C7B" w:rsidR="00E004C9"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Pr="00EC71AB" w:rsidR="00983554" w14:paraId="6BABCFC8" w14:textId="77777777">
        <w:tc>
          <w:tcPr>
            <w:tcW w:w="9212" w:type="dxa"/>
          </w:tcPr>
          <w:p w:rsidRPr="00EC71AB" w:rsidR="00983554" w:rsidP="0036178C" w:rsidRDefault="00ED2B11" w14:paraId="17351D25" w14:textId="05D2A2C6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  <w:highlight w:val="yellow"/>
              </w:rPr>
              <w:t>[bitte ergänzen]</w:t>
            </w:r>
          </w:p>
        </w:tc>
      </w:tr>
    </w:tbl>
    <w:p w:rsidRPr="00247C7B" w:rsidR="008E6675" w:rsidP="005638EB" w:rsidRDefault="008E6675" w14:paraId="394F2677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49B8805A" w14:textId="77777777">
        <w:tc>
          <w:tcPr>
            <w:tcW w:w="9212" w:type="dxa"/>
          </w:tcPr>
          <w:p w:rsidRPr="00EC71AB" w:rsidR="008E6675" w:rsidP="00285AE4" w:rsidRDefault="008E6675" w14:paraId="2C8371FB" w14:textId="4D6E374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47C7B">
              <w:rPr>
                <w:rFonts w:ascii="Arial Narrow" w:hAnsi="Arial Narrow"/>
                <w:b/>
                <w:sz w:val="22"/>
                <w:szCs w:val="22"/>
              </w:rPr>
              <w:t>Wieviele</w:t>
            </w:r>
            <w:proofErr w:type="spellEnd"/>
            <w:r w:rsidRPr="00247C7B">
              <w:rPr>
                <w:rFonts w:ascii="Arial Narrow" w:hAnsi="Arial Narrow"/>
                <w:b/>
                <w:sz w:val="22"/>
                <w:szCs w:val="22"/>
              </w:rPr>
              <w:t xml:space="preserve"> P</w:t>
            </w:r>
            <w:r w:rsidRPr="00247C7B" w:rsidR="00A530BE">
              <w:rPr>
                <w:rFonts w:ascii="Arial Narrow" w:hAnsi="Arial Narrow"/>
                <w:b/>
                <w:sz w:val="22"/>
                <w:szCs w:val="22"/>
              </w:rPr>
              <w:t>atienten planen Sie im Jahr 20</w:t>
            </w:r>
            <w:r w:rsidRPr="00247C7B" w:rsidR="000953D2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247C7B" w:rsidR="00E004C9"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Pr="00247C7B">
              <w:rPr>
                <w:rFonts w:ascii="Arial Narrow" w:hAnsi="Arial Narrow"/>
                <w:b/>
                <w:sz w:val="22"/>
                <w:szCs w:val="22"/>
              </w:rPr>
              <w:t xml:space="preserve"> mit dieser Methode zu behandeln?</w:t>
            </w:r>
          </w:p>
        </w:tc>
      </w:tr>
      <w:tr w:rsidRPr="00EC71AB" w:rsidR="00983554" w14:paraId="742C5EF0" w14:textId="77777777">
        <w:tc>
          <w:tcPr>
            <w:tcW w:w="9212" w:type="dxa"/>
          </w:tcPr>
          <w:p w:rsidRPr="00EC71AB" w:rsidR="00983554" w:rsidP="0036178C" w:rsidRDefault="00ED2B11" w14:paraId="4620D230" w14:textId="7B711C57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  <w:highlight w:val="yellow"/>
              </w:rPr>
              <w:t>[bitte ergänzen]</w:t>
            </w:r>
          </w:p>
        </w:tc>
      </w:tr>
    </w:tbl>
    <w:p w:rsidRPr="00247C7B" w:rsidR="008E6675" w:rsidP="005638EB" w:rsidRDefault="008E6675" w14:paraId="654325C8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04A6A805" w14:textId="77777777">
        <w:tc>
          <w:tcPr>
            <w:tcW w:w="9212" w:type="dxa"/>
          </w:tcPr>
          <w:p w:rsidRPr="00EC71AB" w:rsidR="008E6675" w:rsidP="005638EB" w:rsidRDefault="008E6675" w14:paraId="5C0D4897" w14:textId="77777777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Pr="009B675F" w:rsidR="008E6675" w14:paraId="169DFC57" w14:textId="77777777">
        <w:tc>
          <w:tcPr>
            <w:tcW w:w="9212" w:type="dxa"/>
          </w:tcPr>
          <w:p w:rsidRPr="00247C7B" w:rsidR="006A1599" w:rsidP="006A1599" w:rsidRDefault="006A1599" w14:paraId="05A3C195" w14:textId="0633B8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bCs/>
                <w:sz w:val="22"/>
                <w:szCs w:val="22"/>
              </w:rPr>
              <w:t>Sachkosten für Trofinetid</w:t>
            </w:r>
            <w:r w:rsidR="001427BF"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Pr="00247C7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(in Euro):</w:t>
            </w:r>
          </w:p>
          <w:p w:rsidRPr="00135EB7" w:rsidR="001512B3" w:rsidP="006A1599" w:rsidRDefault="001512B3" w14:paraId="53804B37" w14:textId="77777777">
            <w:pPr>
              <w:rPr>
                <w:rFonts w:ascii="Arial Narrow" w:hAnsi="Arial Narrow"/>
                <w:sz w:val="22"/>
                <w:szCs w:val="22"/>
                <w:lang w:val="de-CH"/>
              </w:rPr>
            </w:pPr>
          </w:p>
          <w:p w:rsidRPr="00135EB7" w:rsidR="00135EB7" w:rsidP="00135EB7" w:rsidRDefault="00135EB7" w14:paraId="2EC3E92E" w14:textId="5618B5C5">
            <w:pPr>
              <w:rPr>
                <w:rFonts w:ascii="Arial Narrow" w:hAnsi="Arial Narrow"/>
                <w:sz w:val="22"/>
                <w:szCs w:val="22"/>
              </w:rPr>
            </w:pPr>
            <w:r w:rsidRPr="00135EB7">
              <w:rPr>
                <w:rFonts w:ascii="Arial Narrow" w:hAnsi="Arial Narrow"/>
                <w:sz w:val="22"/>
                <w:szCs w:val="22"/>
              </w:rPr>
              <w:t>Der Preis von Trofinetide in E</w:t>
            </w:r>
            <w:r>
              <w:rPr>
                <w:rFonts w:ascii="Arial Narrow" w:hAnsi="Arial Narrow"/>
                <w:sz w:val="22"/>
                <w:szCs w:val="22"/>
              </w:rPr>
              <w:t>uropa</w:t>
            </w:r>
            <w:r w:rsidRPr="00135EB7">
              <w:rPr>
                <w:rFonts w:ascii="Arial Narrow" w:hAnsi="Arial Narrow"/>
                <w:sz w:val="22"/>
                <w:szCs w:val="22"/>
              </w:rPr>
              <w:t xml:space="preserve"> ist im Moment noch nicht fixiert. </w:t>
            </w:r>
            <w:r w:rsidRPr="0084146F" w:rsidR="0084146F">
              <w:rPr>
                <w:rFonts w:ascii="Arial Narrow" w:hAnsi="Arial Narrow"/>
                <w:sz w:val="22"/>
                <w:szCs w:val="22"/>
              </w:rPr>
              <w:t xml:space="preserve">Es handelt sich hier um ein Medikament für die Behandlung einer Seltenen Erkrankung, insofern sind hier Kosten von vergleichbaren </w:t>
            </w:r>
            <w:proofErr w:type="spellStart"/>
            <w:r w:rsidRPr="0084146F" w:rsidR="0084146F">
              <w:rPr>
                <w:rFonts w:ascii="Arial Narrow" w:hAnsi="Arial Narrow"/>
                <w:sz w:val="22"/>
                <w:szCs w:val="22"/>
              </w:rPr>
              <w:t>Orphan</w:t>
            </w:r>
            <w:proofErr w:type="spellEnd"/>
            <w:r w:rsidRPr="0084146F" w:rsidR="0084146F">
              <w:rPr>
                <w:rFonts w:ascii="Arial Narrow" w:hAnsi="Arial Narrow"/>
                <w:sz w:val="22"/>
                <w:szCs w:val="22"/>
              </w:rPr>
              <w:t xml:space="preserve"> Drugs anzusetzen.</w:t>
            </w:r>
          </w:p>
          <w:p w:rsidRPr="00247C7B" w:rsidR="002A6D30" w:rsidP="006A1599" w:rsidRDefault="002A6D30" w14:paraId="0BBB21F4" w14:textId="77777777">
            <w:pPr>
              <w:rPr>
                <w:rFonts w:ascii="Arial Narrow" w:hAnsi="Arial Narrow"/>
                <w:color w:val="548DD4" w:themeColor="text2" w:themeTint="99"/>
                <w:sz w:val="22"/>
                <w:szCs w:val="22"/>
              </w:rPr>
            </w:pPr>
          </w:p>
          <w:p w:rsidRPr="00247C7B" w:rsidR="00A530BE" w:rsidP="005638EB" w:rsidRDefault="00A530BE" w14:paraId="51062227" w14:textId="77381E59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Personalk</w:t>
            </w:r>
            <w:r w:rsidRPr="00247C7B" w:rsidR="001774E7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oste</w:t>
            </w:r>
            <w:r w:rsidR="004967CE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n</w:t>
            </w:r>
          </w:p>
          <w:p w:rsidRPr="00135EB7" w:rsidR="00B73342" w:rsidP="004967CE" w:rsidRDefault="00CF4534" w14:paraId="7D03D20B" w14:textId="50742015">
            <w:r w:rsidRPr="00247C7B">
              <w:rPr>
                <w:rFonts w:ascii="Arial Narrow" w:hAnsi="Arial Narrow"/>
                <w:sz w:val="22"/>
                <w:szCs w:val="22"/>
              </w:rPr>
              <w:t xml:space="preserve">Bei Applikation über </w:t>
            </w:r>
            <w:r w:rsidRPr="00247C7B" w:rsidR="00BA0E51">
              <w:rPr>
                <w:rFonts w:ascii="Arial Narrow" w:hAnsi="Arial Narrow"/>
                <w:sz w:val="22"/>
                <w:szCs w:val="22"/>
              </w:rPr>
              <w:t>Gastro</w:t>
            </w:r>
            <w:r w:rsidRPr="00247C7B" w:rsidR="00B523AC">
              <w:rPr>
                <w:rFonts w:ascii="Arial Narrow" w:hAnsi="Arial Narrow"/>
                <w:sz w:val="22"/>
                <w:szCs w:val="22"/>
              </w:rPr>
              <w:t xml:space="preserve">stomie-Sonde: </w:t>
            </w:r>
            <w:r w:rsidRPr="00247C7B">
              <w:rPr>
                <w:rFonts w:ascii="Arial Narrow" w:hAnsi="Arial Narrow"/>
                <w:sz w:val="22"/>
                <w:szCs w:val="22"/>
              </w:rPr>
              <w:t>Für die Überwachung: ca. 30 Minuten (PD), ca. 10 Minuten (ÄD)</w:t>
            </w:r>
          </w:p>
        </w:tc>
      </w:tr>
    </w:tbl>
    <w:p w:rsidRPr="00135EB7" w:rsidR="008E6675" w:rsidP="005638EB" w:rsidRDefault="008E6675" w14:paraId="45E65153" w14:textId="77777777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0D84EF57" w14:textId="77777777">
        <w:tc>
          <w:tcPr>
            <w:tcW w:w="9212" w:type="dxa"/>
          </w:tcPr>
          <w:p w:rsidRPr="00EC71AB" w:rsidR="008E6675" w:rsidP="005638EB" w:rsidRDefault="008E6675" w14:paraId="2FCAAE14" w14:textId="77777777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Welche DRG(s) ist/sind am häufigsten von dieser Methode betroffen?</w:t>
            </w:r>
          </w:p>
        </w:tc>
      </w:tr>
      <w:tr w:rsidRPr="00EC71AB" w:rsidR="008E6675" w14:paraId="56F9F66E" w14:textId="77777777">
        <w:tc>
          <w:tcPr>
            <w:tcW w:w="9212" w:type="dxa"/>
          </w:tcPr>
          <w:p w:rsidRPr="00247C7B" w:rsidR="00713A28" w:rsidP="005638EB" w:rsidRDefault="00713A28" w14:paraId="63AD92A7" w14:textId="6DE31BB7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 xml:space="preserve">B85D, </w:t>
            </w:r>
          </w:p>
          <w:p w:rsidRPr="00247C7B" w:rsidR="008E6675" w:rsidP="005638EB" w:rsidRDefault="00713A28" w14:paraId="3FDE8751" w14:textId="022A2243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>B46Z</w:t>
            </w:r>
            <w:r w:rsidRPr="00247C7B" w:rsidR="00585D2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:rsidRPr="00EC71AB" w:rsidR="008E6675" w:rsidP="005638EB" w:rsidRDefault="008E6675" w14:paraId="4E6FC927" w14:textId="77777777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EC71AB" w:rsidR="008E6675" w14:paraId="4E9DF4AB" w14:textId="77777777">
        <w:tc>
          <w:tcPr>
            <w:tcW w:w="9212" w:type="dxa"/>
          </w:tcPr>
          <w:p w:rsidRPr="00EC71AB" w:rsidR="008E6675" w:rsidP="005638EB" w:rsidRDefault="008E6675" w14:paraId="3184CC4A" w14:textId="77777777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b/>
                <w:sz w:val="22"/>
                <w:szCs w:val="22"/>
              </w:rPr>
              <w:t>Warum ist diese Methode aus Ihrer Sicht derzeit im G-DRG-System nicht sachgerecht abgebildet?</w:t>
            </w:r>
          </w:p>
        </w:tc>
      </w:tr>
      <w:tr w:rsidRPr="00EC71AB" w:rsidR="008E6675" w14:paraId="3100E4A7" w14:textId="77777777">
        <w:tc>
          <w:tcPr>
            <w:tcW w:w="9212" w:type="dxa"/>
          </w:tcPr>
          <w:p w:rsidRPr="00247C7B" w:rsidR="00D17002" w:rsidP="00D17002" w:rsidRDefault="00D17002" w14:paraId="592AA9FB" w14:textId="4DF99EE7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lastRenderedPageBreak/>
              <w:t>Trofinetid</w:t>
            </w:r>
            <w:r w:rsidR="000A4C3B">
              <w:rPr>
                <w:rFonts w:ascii="Arial Narrow" w:hAnsi="Arial Narrow"/>
                <w:sz w:val="22"/>
                <w:szCs w:val="22"/>
              </w:rPr>
              <w:t>e</w:t>
            </w:r>
            <w:r w:rsidRPr="00247C7B">
              <w:rPr>
                <w:rFonts w:ascii="Arial Narrow" w:hAnsi="Arial Narrow"/>
                <w:sz w:val="22"/>
                <w:szCs w:val="22"/>
              </w:rPr>
              <w:t xml:space="preserve"> ist </w:t>
            </w:r>
            <w:r w:rsidRPr="00247C7B" w:rsidR="0056602B">
              <w:rPr>
                <w:rFonts w:ascii="Arial Narrow" w:hAnsi="Arial Narrow"/>
                <w:sz w:val="22"/>
                <w:szCs w:val="22"/>
              </w:rPr>
              <w:t>noch nicht auf dem deutschen Markt erhältlich, allerdings wird mit einer Zulassung in Q1</w:t>
            </w:r>
            <w:r w:rsidR="000A4C3B">
              <w:rPr>
                <w:rFonts w:ascii="Arial Narrow" w:hAnsi="Arial Narrow"/>
                <w:sz w:val="22"/>
                <w:szCs w:val="22"/>
              </w:rPr>
              <w:t>/Q2</w:t>
            </w:r>
            <w:r w:rsidRPr="00247C7B" w:rsidR="0056602B">
              <w:rPr>
                <w:rFonts w:ascii="Arial Narrow" w:hAnsi="Arial Narrow"/>
                <w:sz w:val="22"/>
                <w:szCs w:val="22"/>
              </w:rPr>
              <w:t xml:space="preserve"> 2026 gerechnet. </w:t>
            </w:r>
          </w:p>
          <w:p w:rsidRPr="00247C7B" w:rsidR="00D17002" w:rsidP="00D17002" w:rsidRDefault="00D17002" w14:paraId="54C7E52A" w14:textId="77777777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 xml:space="preserve">Für das Datenjahr 2024 können daher aus den Kalkulationshäusern keine Kostendaten für den Einsatz vorliegen. </w:t>
            </w:r>
          </w:p>
          <w:p w:rsidRPr="00247C7B" w:rsidR="00D17002" w:rsidP="00D17002" w:rsidRDefault="00D17002" w14:paraId="13AF5414" w14:textId="77777777">
            <w:pPr>
              <w:rPr>
                <w:rFonts w:ascii="Arial Narrow" w:hAnsi="Arial Narrow"/>
                <w:sz w:val="22"/>
                <w:szCs w:val="22"/>
              </w:rPr>
            </w:pPr>
            <w:bookmarkStart w:name="_Hlk83811057" w:id="0"/>
            <w:r w:rsidRPr="00247C7B">
              <w:rPr>
                <w:rFonts w:ascii="Arial Narrow" w:hAnsi="Arial Narrow"/>
                <w:sz w:val="22"/>
                <w:szCs w:val="22"/>
              </w:rPr>
              <w:t>Eine sachgerechte Abbildung im G-DRG System 2026 wird damit nicht möglich.</w:t>
            </w:r>
          </w:p>
          <w:p w:rsidRPr="00247C7B" w:rsidR="00D17002" w:rsidP="00D17002" w:rsidRDefault="00D17002" w14:paraId="4839323F" w14:textId="3186D774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 xml:space="preserve">Die zusätzlichen Kosten können aber mit der/den o.g. Fallpauschale(n) allein nicht ausreichend abgebildet werden. </w:t>
            </w:r>
          </w:p>
          <w:p w:rsidRPr="00247C7B" w:rsidR="008E6675" w:rsidP="0004094A" w:rsidRDefault="00D17002" w14:paraId="222643B9" w14:textId="094A7834">
            <w:pPr>
              <w:rPr>
                <w:rFonts w:ascii="Arial Narrow" w:hAnsi="Arial Narrow"/>
                <w:sz w:val="22"/>
                <w:szCs w:val="22"/>
              </w:rPr>
            </w:pPr>
            <w:r w:rsidRPr="00247C7B">
              <w:rPr>
                <w:rFonts w:ascii="Arial Narrow" w:hAnsi="Arial Narrow"/>
                <w:sz w:val="22"/>
                <w:szCs w:val="22"/>
              </w:rPr>
              <w:t>Aufgrund der hohen Kosten des Medikaments kommt es zu einer Unterfinanzierung in den entsprechenden Fällen der betroffenen DRG(s).</w:t>
            </w:r>
            <w:bookmarkEnd w:id="0"/>
          </w:p>
        </w:tc>
      </w:tr>
    </w:tbl>
    <w:p w:rsidRPr="00EC71AB" w:rsidR="008E6675" w:rsidP="005638EB" w:rsidRDefault="008E6675" w14:paraId="0A50A959" w14:textId="77777777">
      <w:pPr>
        <w:rPr>
          <w:rFonts w:ascii="Arial Narrow" w:hAnsi="Arial Narrow"/>
          <w:sz w:val="22"/>
          <w:szCs w:val="22"/>
        </w:rPr>
      </w:pPr>
    </w:p>
    <w:p w:rsidRPr="00EC71AB" w:rsidR="00DA2774" w:rsidP="005638EB" w:rsidRDefault="00DA2774" w14:paraId="69BABD0C" w14:textId="77777777">
      <w:pPr>
        <w:rPr>
          <w:rFonts w:ascii="Arial Narrow" w:hAnsi="Arial Narrow"/>
          <w:sz w:val="22"/>
          <w:szCs w:val="22"/>
        </w:rPr>
      </w:pPr>
    </w:p>
    <w:p w:rsidRPr="00EC71AB" w:rsidR="00175BCC" w:rsidP="005638EB" w:rsidRDefault="00175BCC" w14:paraId="678A001B" w14:textId="77777777">
      <w:pPr>
        <w:rPr>
          <w:rFonts w:ascii="Arial Narrow" w:hAnsi="Arial Narrow"/>
          <w:sz w:val="22"/>
          <w:szCs w:val="22"/>
        </w:rPr>
      </w:pPr>
    </w:p>
    <w:sectPr w:rsidRPr="00EC71AB" w:rsidR="00175BCC" w:rsidSect="004E1D02">
      <w:headerReference w:type="default" r:id="rId12"/>
      <w:footerReference w:type="default" r:id="rId13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53E" w:rsidRDefault="00A2353E" w14:paraId="03125169" w14:textId="77777777">
      <w:r>
        <w:separator/>
      </w:r>
    </w:p>
  </w:endnote>
  <w:endnote w:type="continuationSeparator" w:id="0">
    <w:p w:rsidR="00A2353E" w:rsidRDefault="00A2353E" w14:paraId="0BB14AF9" w14:textId="77777777">
      <w:r>
        <w:continuationSeparator/>
      </w:r>
    </w:p>
  </w:endnote>
  <w:endnote w:type="continuationNotice" w:id="1">
    <w:p w:rsidR="00A2353E" w:rsidRDefault="00A2353E" w14:paraId="31E4C50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35583" w:rsidR="00F64982" w:rsidP="00435583" w:rsidRDefault="00F64982" w14:paraId="7B776D3D" w14:textId="2224EAFF">
    <w:pPr>
      <w:pStyle w:val="Fuzeile"/>
      <w:rPr>
        <w:rFonts w:ascii="Arial Narrow" w:hAnsi="Arial Narrow"/>
        <w:sz w:val="20"/>
        <w:szCs w:val="20"/>
      </w:rPr>
    </w:pPr>
    <w:r w:rsidRPr="00435583">
      <w:rPr>
        <w:rFonts w:ascii="Arial Narrow" w:hAnsi="Arial Narrow"/>
        <w:sz w:val="20"/>
        <w:szCs w:val="20"/>
      </w:rPr>
      <w:t xml:space="preserve">NUB-Musteranfrage </w:t>
    </w:r>
    <w:proofErr w:type="spellStart"/>
    <w:r w:rsidR="003A6F41">
      <w:rPr>
        <w:rFonts w:ascii="Arial Narrow" w:hAnsi="Arial Narrow"/>
        <w:sz w:val="20"/>
        <w:szCs w:val="20"/>
      </w:rPr>
      <w:t>Trofinetid</w:t>
    </w:r>
    <w:r w:rsidR="003602A4">
      <w:rPr>
        <w:rFonts w:ascii="Arial Narrow" w:hAnsi="Arial Narrow"/>
        <w:sz w:val="20"/>
        <w:szCs w:val="20"/>
      </w:rPr>
      <w:t>e</w:t>
    </w:r>
    <w:proofErr w:type="spellEnd"/>
  </w:p>
  <w:p w:rsidRPr="005F5DF9" w:rsidR="00F64982" w:rsidP="00435583" w:rsidRDefault="005F5DF9" w14:paraId="463B5D71" w14:textId="6B6DD8AF">
    <w:pPr>
      <w:pStyle w:val="Fuzeile"/>
      <w:rPr>
        <w:rFonts w:ascii="Arial Narrow" w:hAnsi="Arial Narrow"/>
        <w:sz w:val="20"/>
        <w:szCs w:val="20"/>
      </w:rPr>
    </w:pPr>
    <w:r w:rsidRPr="005F5DF9">
      <w:rPr>
        <w:rFonts w:ascii="Arial Narrow" w:hAnsi="Arial Narrow"/>
        <w:sz w:val="20"/>
        <w:szCs w:val="20"/>
      </w:rPr>
      <w:t xml:space="preserve">Seite </w:t>
    </w:r>
    <w:r w:rsidRPr="005F5DF9">
      <w:rPr>
        <w:rFonts w:ascii="Arial Narrow" w:hAnsi="Arial Narrow"/>
        <w:sz w:val="20"/>
        <w:szCs w:val="20"/>
      </w:rPr>
      <w:fldChar w:fldCharType="begin"/>
    </w:r>
    <w:r w:rsidRPr="005F5DF9">
      <w:rPr>
        <w:rFonts w:ascii="Arial Narrow" w:hAnsi="Arial Narrow"/>
        <w:sz w:val="20"/>
        <w:szCs w:val="20"/>
      </w:rPr>
      <w:instrText>PAGE  \* Arabic  \* MERGEFORMAT</w:instrText>
    </w:r>
    <w:r w:rsidRPr="005F5DF9">
      <w:rPr>
        <w:rFonts w:ascii="Arial Narrow" w:hAnsi="Arial Narrow"/>
        <w:sz w:val="20"/>
        <w:szCs w:val="20"/>
      </w:rPr>
      <w:fldChar w:fldCharType="separate"/>
    </w:r>
    <w:r w:rsidRPr="005F5DF9">
      <w:rPr>
        <w:rFonts w:ascii="Arial Narrow" w:hAnsi="Arial Narrow"/>
        <w:sz w:val="20"/>
        <w:szCs w:val="20"/>
      </w:rPr>
      <w:t>1</w:t>
    </w:r>
    <w:r w:rsidRPr="005F5DF9">
      <w:rPr>
        <w:rFonts w:ascii="Arial Narrow" w:hAnsi="Arial Narrow"/>
        <w:sz w:val="20"/>
        <w:szCs w:val="20"/>
      </w:rPr>
      <w:fldChar w:fldCharType="end"/>
    </w:r>
    <w:r w:rsidRPr="005F5DF9">
      <w:rPr>
        <w:rFonts w:ascii="Arial Narrow" w:hAnsi="Arial Narrow"/>
        <w:sz w:val="20"/>
        <w:szCs w:val="20"/>
      </w:rPr>
      <w:t xml:space="preserve"> von </w:t>
    </w:r>
    <w:r w:rsidRPr="005F5DF9">
      <w:rPr>
        <w:rFonts w:ascii="Arial Narrow" w:hAnsi="Arial Narrow"/>
        <w:sz w:val="20"/>
        <w:szCs w:val="20"/>
      </w:rPr>
      <w:fldChar w:fldCharType="begin"/>
    </w:r>
    <w:r w:rsidRPr="005F5DF9">
      <w:rPr>
        <w:rFonts w:ascii="Arial Narrow" w:hAnsi="Arial Narrow"/>
        <w:sz w:val="20"/>
        <w:szCs w:val="20"/>
      </w:rPr>
      <w:instrText>NUMPAGES  \* Arabic  \* MERGEFORMAT</w:instrText>
    </w:r>
    <w:r w:rsidRPr="005F5DF9">
      <w:rPr>
        <w:rFonts w:ascii="Arial Narrow" w:hAnsi="Arial Narrow"/>
        <w:sz w:val="20"/>
        <w:szCs w:val="20"/>
      </w:rPr>
      <w:fldChar w:fldCharType="separate"/>
    </w:r>
    <w:r w:rsidRPr="005F5DF9">
      <w:rPr>
        <w:rFonts w:ascii="Arial Narrow" w:hAnsi="Arial Narrow"/>
        <w:sz w:val="20"/>
        <w:szCs w:val="20"/>
      </w:rPr>
      <w:t>2</w:t>
    </w:r>
    <w:r w:rsidRPr="005F5DF9">
      <w:rPr>
        <w:rFonts w:ascii="Arial Narrow" w:hAnsi="Arial Narrow"/>
        <w:sz w:val="20"/>
        <w:szCs w:val="20"/>
      </w:rPr>
      <w:fldChar w:fldCharType="end"/>
    </w:r>
  </w:p>
  <w:p w:rsidRPr="00435583" w:rsidR="00F64982" w:rsidP="00435583" w:rsidRDefault="00F64982" w14:paraId="6E7C81DA" w14:textId="22E19A23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53E" w:rsidRDefault="00A2353E" w14:paraId="5A7466B0" w14:textId="77777777">
      <w:r>
        <w:separator/>
      </w:r>
    </w:p>
  </w:footnote>
  <w:footnote w:type="continuationSeparator" w:id="0">
    <w:p w:rsidR="00A2353E" w:rsidRDefault="00A2353E" w14:paraId="5C4FCF68" w14:textId="77777777">
      <w:r>
        <w:continuationSeparator/>
      </w:r>
    </w:p>
  </w:footnote>
  <w:footnote w:type="continuationNotice" w:id="1">
    <w:p w:rsidR="00A2353E" w:rsidRDefault="00A2353E" w14:paraId="08E78BF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C4F82" w:rsidR="00F64982" w:rsidP="00596F9A" w:rsidRDefault="00F64982" w14:paraId="53458799" w14:textId="6F9617A1">
    <w:pPr>
      <w:pStyle w:val="Titel"/>
      <w:rPr>
        <w:sz w:val="48"/>
      </w:rPr>
    </w:pPr>
    <w:proofErr w:type="gramStart"/>
    <w:r w:rsidRPr="004C4F82">
      <w:rPr>
        <w:sz w:val="48"/>
      </w:rPr>
      <w:t>NUB Antrag</w:t>
    </w:r>
    <w:proofErr w:type="gramEnd"/>
    <w:r w:rsidRPr="004C4F82">
      <w:rPr>
        <w:sz w:val="48"/>
      </w:rPr>
      <w:t xml:space="preserve"> 20</w:t>
    </w:r>
    <w:r>
      <w:rPr>
        <w:sz w:val="48"/>
      </w:rPr>
      <w:t>2</w:t>
    </w:r>
    <w:r w:rsidR="00A5697F">
      <w:rPr>
        <w:sz w:val="48"/>
      </w:rPr>
      <w:t>5</w:t>
    </w:r>
    <w:r w:rsidRPr="004C4F82">
      <w:rPr>
        <w:sz w:val="48"/>
      </w:rPr>
      <w:t>/20</w:t>
    </w:r>
    <w:r>
      <w:rPr>
        <w:sz w:val="48"/>
      </w:rPr>
      <w:t>2</w:t>
    </w:r>
    <w:r w:rsidR="00A5697F">
      <w:rPr>
        <w:sz w:val="48"/>
      </w:rPr>
      <w:t>6</w:t>
    </w:r>
    <w:r w:rsidRPr="004C4F82">
      <w:rPr>
        <w:sz w:val="48"/>
      </w:rPr>
      <w:t xml:space="preserve"> </w:t>
    </w:r>
  </w:p>
  <w:p w:rsidRPr="004C4F82" w:rsidR="00F64982" w:rsidP="00596F9A" w:rsidRDefault="00A5697F" w14:paraId="2D6FE634" w14:textId="71FFE3CA">
    <w:pPr>
      <w:pStyle w:val="Titel"/>
      <w:rPr>
        <w:sz w:val="48"/>
      </w:rPr>
    </w:pPr>
    <w:proofErr w:type="spellStart"/>
    <w:r>
      <w:rPr>
        <w:sz w:val="48"/>
      </w:rPr>
      <w:t>Trofinetid</w:t>
    </w:r>
    <w:r w:rsidR="003602A4">
      <w:rPr>
        <w:sz w:val="48"/>
      </w:rPr>
      <w:t>e</w:t>
    </w:r>
    <w:proofErr w:type="spellEnd"/>
  </w:p>
  <w:p w:rsidR="00F64982" w:rsidRDefault="00F64982" w14:paraId="38DF28C4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83"/>
    <w:multiLevelType w:val="multilevel"/>
    <w:tmpl w:val="1D4663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" w15:restartNumberingAfterBreak="0">
    <w:nsid w:val="0C3860C5"/>
    <w:multiLevelType w:val="hybridMultilevel"/>
    <w:tmpl w:val="655036DA"/>
    <w:lvl w:ilvl="0" w:tplc="0407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C1CCB"/>
    <w:multiLevelType w:val="multilevel"/>
    <w:tmpl w:val="7D024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  <w:b w:val="0"/>
      </w:rPr>
    </w:lvl>
  </w:abstractNum>
  <w:abstractNum w:abstractNumId="3" w15:restartNumberingAfterBreak="0">
    <w:nsid w:val="0F8C1304"/>
    <w:multiLevelType w:val="hybridMultilevel"/>
    <w:tmpl w:val="49187E7A"/>
    <w:lvl w:ilvl="0" w:tplc="F4DC3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22CA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69B6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D0E6B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32A8A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91AC1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FE4C6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8F8C7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2C29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210569"/>
    <w:multiLevelType w:val="hybridMultilevel"/>
    <w:tmpl w:val="588675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81313"/>
    <w:multiLevelType w:val="hybridMultilevel"/>
    <w:tmpl w:val="7F4E33F6"/>
    <w:lvl w:ilvl="0" w:tplc="9AEE24C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 w:ascii="Arial" w:hAnsi="Arial" w:cs="Arial"/>
        <w:sz w:val="22"/>
      </w:rPr>
    </w:lvl>
    <w:lvl w:ilvl="1" w:tplc="81F03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DC5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08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8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8C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1E2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AE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5C5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DC15EE"/>
    <w:multiLevelType w:val="multilevel"/>
    <w:tmpl w:val="E7206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7" w15:restartNumberingAfterBreak="0">
    <w:nsid w:val="296300F9"/>
    <w:multiLevelType w:val="hybridMultilevel"/>
    <w:tmpl w:val="D0F4BD28"/>
    <w:lvl w:ilvl="0" w:tplc="47D65AF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 w:ascii="Arial" w:hAnsi="Arial" w:cs="Arial"/>
        <w:sz w:val="22"/>
      </w:rPr>
    </w:lvl>
    <w:lvl w:ilvl="1" w:tplc="3AC05F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DA7D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27838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0A443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9AB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FE61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100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F2C4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C1D1057"/>
    <w:multiLevelType w:val="hybridMultilevel"/>
    <w:tmpl w:val="254E9DD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0B1F36"/>
    <w:multiLevelType w:val="hybridMultilevel"/>
    <w:tmpl w:val="FB5459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E6F25"/>
    <w:multiLevelType w:val="multilevel"/>
    <w:tmpl w:val="6F323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  <w:b w:val="0"/>
      </w:rPr>
    </w:lvl>
  </w:abstractNum>
  <w:abstractNum w:abstractNumId="11" w15:restartNumberingAfterBreak="0">
    <w:nsid w:val="61FB1A21"/>
    <w:multiLevelType w:val="hybridMultilevel"/>
    <w:tmpl w:val="8BACE4F6"/>
    <w:lvl w:ilvl="0" w:tplc="921480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 w:ascii="Arial" w:hAnsi="Arial" w:cs="Arial"/>
        <w:sz w:val="22"/>
      </w:rPr>
    </w:lvl>
    <w:lvl w:ilvl="1" w:tplc="296C6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049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80E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8E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10F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86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D23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8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6297720"/>
    <w:multiLevelType w:val="hybridMultilevel"/>
    <w:tmpl w:val="D372435A"/>
    <w:lvl w:ilvl="0" w:tplc="89948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B103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C5A2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3CCE2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2168E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2565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1368F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01521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675EF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91243383">
    <w:abstractNumId w:val="0"/>
  </w:num>
  <w:num w:numId="2" w16cid:durableId="226962088">
    <w:abstractNumId w:val="12"/>
  </w:num>
  <w:num w:numId="3" w16cid:durableId="1748114626">
    <w:abstractNumId w:val="7"/>
  </w:num>
  <w:num w:numId="4" w16cid:durableId="1724328217">
    <w:abstractNumId w:val="5"/>
  </w:num>
  <w:num w:numId="5" w16cid:durableId="928735535">
    <w:abstractNumId w:val="11"/>
  </w:num>
  <w:num w:numId="6" w16cid:durableId="1123380489">
    <w:abstractNumId w:val="3"/>
  </w:num>
  <w:num w:numId="7" w16cid:durableId="1080523472">
    <w:abstractNumId w:val="10"/>
  </w:num>
  <w:num w:numId="8" w16cid:durableId="1568803819">
    <w:abstractNumId w:val="6"/>
  </w:num>
  <w:num w:numId="9" w16cid:durableId="76565041">
    <w:abstractNumId w:val="2"/>
  </w:num>
  <w:num w:numId="10" w16cid:durableId="1625188327">
    <w:abstractNumId w:val="8"/>
  </w:num>
  <w:num w:numId="11" w16cid:durableId="733627596">
    <w:abstractNumId w:val="4"/>
  </w:num>
  <w:num w:numId="12" w16cid:durableId="2009552128">
    <w:abstractNumId w:val="1"/>
  </w:num>
  <w:num w:numId="13" w16cid:durableId="1457677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E794084-83B0-4B46-BD37-262E0589DDB9}"/>
    <w:docVar w:name="dgnword-eventsink" w:val="507668536"/>
  </w:docVars>
  <w:rsids>
    <w:rsidRoot w:val="00234FB1"/>
    <w:rsid w:val="0000283B"/>
    <w:rsid w:val="00007B8C"/>
    <w:rsid w:val="0001154A"/>
    <w:rsid w:val="00014345"/>
    <w:rsid w:val="000153FB"/>
    <w:rsid w:val="00015748"/>
    <w:rsid w:val="00015BCA"/>
    <w:rsid w:val="00024651"/>
    <w:rsid w:val="0002604D"/>
    <w:rsid w:val="00031D9C"/>
    <w:rsid w:val="00034C35"/>
    <w:rsid w:val="0003607F"/>
    <w:rsid w:val="0004094A"/>
    <w:rsid w:val="00042A1A"/>
    <w:rsid w:val="00044597"/>
    <w:rsid w:val="00045067"/>
    <w:rsid w:val="000454A9"/>
    <w:rsid w:val="00046400"/>
    <w:rsid w:val="00052304"/>
    <w:rsid w:val="00060891"/>
    <w:rsid w:val="00065A38"/>
    <w:rsid w:val="00065D80"/>
    <w:rsid w:val="00066A27"/>
    <w:rsid w:val="00072A33"/>
    <w:rsid w:val="00074538"/>
    <w:rsid w:val="000953D2"/>
    <w:rsid w:val="000A4C3B"/>
    <w:rsid w:val="000A77AB"/>
    <w:rsid w:val="000B5149"/>
    <w:rsid w:val="000B5D08"/>
    <w:rsid w:val="000B6B8B"/>
    <w:rsid w:val="000C0373"/>
    <w:rsid w:val="000C27D0"/>
    <w:rsid w:val="000C704A"/>
    <w:rsid w:val="000D615D"/>
    <w:rsid w:val="000E1AD6"/>
    <w:rsid w:val="000F34A3"/>
    <w:rsid w:val="000F64C0"/>
    <w:rsid w:val="000F778E"/>
    <w:rsid w:val="00100364"/>
    <w:rsid w:val="001017D4"/>
    <w:rsid w:val="00104C97"/>
    <w:rsid w:val="001063B5"/>
    <w:rsid w:val="001076D0"/>
    <w:rsid w:val="00107EBA"/>
    <w:rsid w:val="00110F57"/>
    <w:rsid w:val="0012107D"/>
    <w:rsid w:val="00126D71"/>
    <w:rsid w:val="00135EB7"/>
    <w:rsid w:val="00140A9D"/>
    <w:rsid w:val="001415F4"/>
    <w:rsid w:val="001419B0"/>
    <w:rsid w:val="00141D05"/>
    <w:rsid w:val="001427BF"/>
    <w:rsid w:val="00144EDB"/>
    <w:rsid w:val="00145731"/>
    <w:rsid w:val="00146104"/>
    <w:rsid w:val="001512B3"/>
    <w:rsid w:val="001522BF"/>
    <w:rsid w:val="00156FE0"/>
    <w:rsid w:val="00171CE6"/>
    <w:rsid w:val="00174C6A"/>
    <w:rsid w:val="001756C0"/>
    <w:rsid w:val="00175BCC"/>
    <w:rsid w:val="001774E7"/>
    <w:rsid w:val="00181143"/>
    <w:rsid w:val="001812EC"/>
    <w:rsid w:val="00190409"/>
    <w:rsid w:val="001A2A4E"/>
    <w:rsid w:val="001A7AC7"/>
    <w:rsid w:val="001B22B3"/>
    <w:rsid w:val="001B5427"/>
    <w:rsid w:val="001B58FF"/>
    <w:rsid w:val="001B6B58"/>
    <w:rsid w:val="001B7FB3"/>
    <w:rsid w:val="001C1FC9"/>
    <w:rsid w:val="001C21C3"/>
    <w:rsid w:val="001C2C59"/>
    <w:rsid w:val="001C525B"/>
    <w:rsid w:val="001C57FC"/>
    <w:rsid w:val="001D2339"/>
    <w:rsid w:val="001E0493"/>
    <w:rsid w:val="001E09A1"/>
    <w:rsid w:val="001E2EB6"/>
    <w:rsid w:val="001E6FEE"/>
    <w:rsid w:val="001F171A"/>
    <w:rsid w:val="001F4753"/>
    <w:rsid w:val="001F745E"/>
    <w:rsid w:val="002005AF"/>
    <w:rsid w:val="0020096A"/>
    <w:rsid w:val="002118F0"/>
    <w:rsid w:val="002121BF"/>
    <w:rsid w:val="00212DC4"/>
    <w:rsid w:val="00214BFB"/>
    <w:rsid w:val="002333FF"/>
    <w:rsid w:val="002334EC"/>
    <w:rsid w:val="00234FB1"/>
    <w:rsid w:val="0023585F"/>
    <w:rsid w:val="00240106"/>
    <w:rsid w:val="00242AC4"/>
    <w:rsid w:val="00247C7B"/>
    <w:rsid w:val="0025017F"/>
    <w:rsid w:val="0025418F"/>
    <w:rsid w:val="00254739"/>
    <w:rsid w:val="00256B7C"/>
    <w:rsid w:val="00262519"/>
    <w:rsid w:val="002666F0"/>
    <w:rsid w:val="00270A18"/>
    <w:rsid w:val="002724FF"/>
    <w:rsid w:val="0028432D"/>
    <w:rsid w:val="00285AE4"/>
    <w:rsid w:val="002864D4"/>
    <w:rsid w:val="00286ABC"/>
    <w:rsid w:val="002920F6"/>
    <w:rsid w:val="00292EEF"/>
    <w:rsid w:val="00296115"/>
    <w:rsid w:val="00297261"/>
    <w:rsid w:val="002A03DC"/>
    <w:rsid w:val="002A3C90"/>
    <w:rsid w:val="002A4953"/>
    <w:rsid w:val="002A54E9"/>
    <w:rsid w:val="002A6D30"/>
    <w:rsid w:val="002B18B8"/>
    <w:rsid w:val="002B19A8"/>
    <w:rsid w:val="002B1A10"/>
    <w:rsid w:val="002C0342"/>
    <w:rsid w:val="002C152D"/>
    <w:rsid w:val="002C39D9"/>
    <w:rsid w:val="002C5593"/>
    <w:rsid w:val="002D2DA5"/>
    <w:rsid w:val="002D7403"/>
    <w:rsid w:val="002E099A"/>
    <w:rsid w:val="002E5E26"/>
    <w:rsid w:val="002E6109"/>
    <w:rsid w:val="002F31A3"/>
    <w:rsid w:val="00304D7A"/>
    <w:rsid w:val="00305016"/>
    <w:rsid w:val="00310E59"/>
    <w:rsid w:val="00317F90"/>
    <w:rsid w:val="00322E90"/>
    <w:rsid w:val="0033095F"/>
    <w:rsid w:val="00332729"/>
    <w:rsid w:val="00337E38"/>
    <w:rsid w:val="003479E5"/>
    <w:rsid w:val="00350890"/>
    <w:rsid w:val="0035141E"/>
    <w:rsid w:val="0035334D"/>
    <w:rsid w:val="00355332"/>
    <w:rsid w:val="00356F19"/>
    <w:rsid w:val="003602A4"/>
    <w:rsid w:val="0036178C"/>
    <w:rsid w:val="00361D85"/>
    <w:rsid w:val="003626F1"/>
    <w:rsid w:val="0036325A"/>
    <w:rsid w:val="00380413"/>
    <w:rsid w:val="00383228"/>
    <w:rsid w:val="003871AA"/>
    <w:rsid w:val="00393949"/>
    <w:rsid w:val="00394B39"/>
    <w:rsid w:val="00394E09"/>
    <w:rsid w:val="00395273"/>
    <w:rsid w:val="003A6F41"/>
    <w:rsid w:val="003B2E05"/>
    <w:rsid w:val="003B413A"/>
    <w:rsid w:val="003B4187"/>
    <w:rsid w:val="003B44A9"/>
    <w:rsid w:val="003B66AF"/>
    <w:rsid w:val="003D2314"/>
    <w:rsid w:val="003E0B9A"/>
    <w:rsid w:val="003E1194"/>
    <w:rsid w:val="003E5E9B"/>
    <w:rsid w:val="003E7BEC"/>
    <w:rsid w:val="003F2692"/>
    <w:rsid w:val="0040158B"/>
    <w:rsid w:val="00405988"/>
    <w:rsid w:val="0040610F"/>
    <w:rsid w:val="004107B5"/>
    <w:rsid w:val="00411315"/>
    <w:rsid w:val="0041156E"/>
    <w:rsid w:val="00416F6E"/>
    <w:rsid w:val="0041771F"/>
    <w:rsid w:val="00420B37"/>
    <w:rsid w:val="00421D6F"/>
    <w:rsid w:val="00422874"/>
    <w:rsid w:val="004260C5"/>
    <w:rsid w:val="0043069F"/>
    <w:rsid w:val="004307C4"/>
    <w:rsid w:val="004330C8"/>
    <w:rsid w:val="00435583"/>
    <w:rsid w:val="00441F8D"/>
    <w:rsid w:val="0044644E"/>
    <w:rsid w:val="00453296"/>
    <w:rsid w:val="00454847"/>
    <w:rsid w:val="004579DE"/>
    <w:rsid w:val="004642E2"/>
    <w:rsid w:val="00467246"/>
    <w:rsid w:val="004736E4"/>
    <w:rsid w:val="00475C8B"/>
    <w:rsid w:val="00483425"/>
    <w:rsid w:val="00486589"/>
    <w:rsid w:val="004926D9"/>
    <w:rsid w:val="00492AB4"/>
    <w:rsid w:val="00494C0F"/>
    <w:rsid w:val="004967CE"/>
    <w:rsid w:val="004A4DD4"/>
    <w:rsid w:val="004A6BBB"/>
    <w:rsid w:val="004B3438"/>
    <w:rsid w:val="004B624B"/>
    <w:rsid w:val="004B6C59"/>
    <w:rsid w:val="004C0AC9"/>
    <w:rsid w:val="004C4F82"/>
    <w:rsid w:val="004C78F4"/>
    <w:rsid w:val="004E1D02"/>
    <w:rsid w:val="004E464C"/>
    <w:rsid w:val="004E6D60"/>
    <w:rsid w:val="004F58DA"/>
    <w:rsid w:val="004F7E8B"/>
    <w:rsid w:val="00504FB4"/>
    <w:rsid w:val="0050526A"/>
    <w:rsid w:val="00505AFB"/>
    <w:rsid w:val="005125E9"/>
    <w:rsid w:val="00512F99"/>
    <w:rsid w:val="005138DE"/>
    <w:rsid w:val="005142C2"/>
    <w:rsid w:val="0052260B"/>
    <w:rsid w:val="0053648B"/>
    <w:rsid w:val="005364BD"/>
    <w:rsid w:val="00540939"/>
    <w:rsid w:val="00541B64"/>
    <w:rsid w:val="00543CC9"/>
    <w:rsid w:val="00545402"/>
    <w:rsid w:val="005524BC"/>
    <w:rsid w:val="005530A6"/>
    <w:rsid w:val="00554218"/>
    <w:rsid w:val="00562DCE"/>
    <w:rsid w:val="005638EB"/>
    <w:rsid w:val="0056602B"/>
    <w:rsid w:val="005668F7"/>
    <w:rsid w:val="005704AE"/>
    <w:rsid w:val="005727C6"/>
    <w:rsid w:val="0057537C"/>
    <w:rsid w:val="005755C1"/>
    <w:rsid w:val="00575C82"/>
    <w:rsid w:val="0058063C"/>
    <w:rsid w:val="00584AE6"/>
    <w:rsid w:val="00585AA9"/>
    <w:rsid w:val="00585D27"/>
    <w:rsid w:val="005944E0"/>
    <w:rsid w:val="00596F9A"/>
    <w:rsid w:val="005A222F"/>
    <w:rsid w:val="005B547D"/>
    <w:rsid w:val="005C332E"/>
    <w:rsid w:val="005C4BE8"/>
    <w:rsid w:val="005D0EC4"/>
    <w:rsid w:val="005D1992"/>
    <w:rsid w:val="005E3885"/>
    <w:rsid w:val="005E4A44"/>
    <w:rsid w:val="005E7C49"/>
    <w:rsid w:val="005F29C6"/>
    <w:rsid w:val="005F4D2E"/>
    <w:rsid w:val="005F5DF9"/>
    <w:rsid w:val="005F5E3E"/>
    <w:rsid w:val="005F6FD2"/>
    <w:rsid w:val="00612463"/>
    <w:rsid w:val="006141D2"/>
    <w:rsid w:val="00614937"/>
    <w:rsid w:val="00620855"/>
    <w:rsid w:val="00620BE0"/>
    <w:rsid w:val="00621C63"/>
    <w:rsid w:val="00624DAD"/>
    <w:rsid w:val="00625D9C"/>
    <w:rsid w:val="006354B6"/>
    <w:rsid w:val="006424E0"/>
    <w:rsid w:val="0064492D"/>
    <w:rsid w:val="006451B6"/>
    <w:rsid w:val="00650457"/>
    <w:rsid w:val="006525F7"/>
    <w:rsid w:val="006549F4"/>
    <w:rsid w:val="00660DD0"/>
    <w:rsid w:val="00661580"/>
    <w:rsid w:val="006628E8"/>
    <w:rsid w:val="00664E69"/>
    <w:rsid w:val="0066629A"/>
    <w:rsid w:val="00667735"/>
    <w:rsid w:val="006737FF"/>
    <w:rsid w:val="00675A2D"/>
    <w:rsid w:val="00681EC4"/>
    <w:rsid w:val="0068367C"/>
    <w:rsid w:val="00687B29"/>
    <w:rsid w:val="00690D6A"/>
    <w:rsid w:val="006923DA"/>
    <w:rsid w:val="00694621"/>
    <w:rsid w:val="006A1599"/>
    <w:rsid w:val="006A3645"/>
    <w:rsid w:val="006A5854"/>
    <w:rsid w:val="006A7599"/>
    <w:rsid w:val="006B264C"/>
    <w:rsid w:val="006B2AE7"/>
    <w:rsid w:val="006B2CE1"/>
    <w:rsid w:val="006C27EB"/>
    <w:rsid w:val="006C4720"/>
    <w:rsid w:val="006C656D"/>
    <w:rsid w:val="006D2583"/>
    <w:rsid w:val="006D3529"/>
    <w:rsid w:val="006D4363"/>
    <w:rsid w:val="006D4375"/>
    <w:rsid w:val="006D693D"/>
    <w:rsid w:val="006E598B"/>
    <w:rsid w:val="006F178B"/>
    <w:rsid w:val="006F3730"/>
    <w:rsid w:val="006F41A2"/>
    <w:rsid w:val="006F7F69"/>
    <w:rsid w:val="00700DB6"/>
    <w:rsid w:val="00700FA9"/>
    <w:rsid w:val="00711C8D"/>
    <w:rsid w:val="0071279C"/>
    <w:rsid w:val="00713A28"/>
    <w:rsid w:val="00724175"/>
    <w:rsid w:val="00724750"/>
    <w:rsid w:val="0073015F"/>
    <w:rsid w:val="0073561A"/>
    <w:rsid w:val="00736ECC"/>
    <w:rsid w:val="00753D68"/>
    <w:rsid w:val="007600D1"/>
    <w:rsid w:val="007646CA"/>
    <w:rsid w:val="007803F3"/>
    <w:rsid w:val="00782322"/>
    <w:rsid w:val="0078272D"/>
    <w:rsid w:val="00783301"/>
    <w:rsid w:val="007951EB"/>
    <w:rsid w:val="007A0F57"/>
    <w:rsid w:val="007A314E"/>
    <w:rsid w:val="007A3246"/>
    <w:rsid w:val="007A6F09"/>
    <w:rsid w:val="007B0C00"/>
    <w:rsid w:val="007B1532"/>
    <w:rsid w:val="007B7BD5"/>
    <w:rsid w:val="007C45D6"/>
    <w:rsid w:val="007D00EB"/>
    <w:rsid w:val="007D3F2E"/>
    <w:rsid w:val="007D7645"/>
    <w:rsid w:val="007E4C4F"/>
    <w:rsid w:val="007F02F6"/>
    <w:rsid w:val="007F0381"/>
    <w:rsid w:val="007F0EC7"/>
    <w:rsid w:val="007F1891"/>
    <w:rsid w:val="007F255B"/>
    <w:rsid w:val="007F3C9F"/>
    <w:rsid w:val="008028DE"/>
    <w:rsid w:val="00802EF7"/>
    <w:rsid w:val="0080511D"/>
    <w:rsid w:val="008074F8"/>
    <w:rsid w:val="00807564"/>
    <w:rsid w:val="00814B90"/>
    <w:rsid w:val="00816072"/>
    <w:rsid w:val="008161AD"/>
    <w:rsid w:val="00816924"/>
    <w:rsid w:val="00823E87"/>
    <w:rsid w:val="00826034"/>
    <w:rsid w:val="0084146F"/>
    <w:rsid w:val="00841F77"/>
    <w:rsid w:val="00843507"/>
    <w:rsid w:val="00850D44"/>
    <w:rsid w:val="008678F1"/>
    <w:rsid w:val="0087187C"/>
    <w:rsid w:val="008875A1"/>
    <w:rsid w:val="00890BC2"/>
    <w:rsid w:val="0089574E"/>
    <w:rsid w:val="0089740D"/>
    <w:rsid w:val="008A1EDE"/>
    <w:rsid w:val="008A3217"/>
    <w:rsid w:val="008A3C55"/>
    <w:rsid w:val="008B1E7E"/>
    <w:rsid w:val="008B38C2"/>
    <w:rsid w:val="008B4504"/>
    <w:rsid w:val="008B7669"/>
    <w:rsid w:val="008B7927"/>
    <w:rsid w:val="008B7E74"/>
    <w:rsid w:val="008C1686"/>
    <w:rsid w:val="008C6E1A"/>
    <w:rsid w:val="008D12DD"/>
    <w:rsid w:val="008D179A"/>
    <w:rsid w:val="008D47A9"/>
    <w:rsid w:val="008D545D"/>
    <w:rsid w:val="008E23A9"/>
    <w:rsid w:val="008E6675"/>
    <w:rsid w:val="008F05BB"/>
    <w:rsid w:val="008F134D"/>
    <w:rsid w:val="008F2461"/>
    <w:rsid w:val="008F5140"/>
    <w:rsid w:val="00900E00"/>
    <w:rsid w:val="00910209"/>
    <w:rsid w:val="00925542"/>
    <w:rsid w:val="00926966"/>
    <w:rsid w:val="009300FF"/>
    <w:rsid w:val="0094688C"/>
    <w:rsid w:val="009545AF"/>
    <w:rsid w:val="00955C2E"/>
    <w:rsid w:val="009569D9"/>
    <w:rsid w:val="00972077"/>
    <w:rsid w:val="00973450"/>
    <w:rsid w:val="009823DA"/>
    <w:rsid w:val="00983554"/>
    <w:rsid w:val="00983C85"/>
    <w:rsid w:val="0099032F"/>
    <w:rsid w:val="009909A0"/>
    <w:rsid w:val="00991441"/>
    <w:rsid w:val="009A187F"/>
    <w:rsid w:val="009B1C7E"/>
    <w:rsid w:val="009B2C5A"/>
    <w:rsid w:val="009B51CD"/>
    <w:rsid w:val="009B6732"/>
    <w:rsid w:val="009B675F"/>
    <w:rsid w:val="009C0B84"/>
    <w:rsid w:val="009C0C8F"/>
    <w:rsid w:val="009C144E"/>
    <w:rsid w:val="009D703A"/>
    <w:rsid w:val="009E21BF"/>
    <w:rsid w:val="009E60A3"/>
    <w:rsid w:val="009F03C7"/>
    <w:rsid w:val="009F11FA"/>
    <w:rsid w:val="00A00CCB"/>
    <w:rsid w:val="00A02C0B"/>
    <w:rsid w:val="00A049AC"/>
    <w:rsid w:val="00A100DC"/>
    <w:rsid w:val="00A10605"/>
    <w:rsid w:val="00A10911"/>
    <w:rsid w:val="00A11C97"/>
    <w:rsid w:val="00A134A7"/>
    <w:rsid w:val="00A17C9E"/>
    <w:rsid w:val="00A2016B"/>
    <w:rsid w:val="00A20594"/>
    <w:rsid w:val="00A21E9E"/>
    <w:rsid w:val="00A220FC"/>
    <w:rsid w:val="00A2353E"/>
    <w:rsid w:val="00A26251"/>
    <w:rsid w:val="00A30D81"/>
    <w:rsid w:val="00A345A9"/>
    <w:rsid w:val="00A43812"/>
    <w:rsid w:val="00A462B1"/>
    <w:rsid w:val="00A50942"/>
    <w:rsid w:val="00A5150A"/>
    <w:rsid w:val="00A51C7B"/>
    <w:rsid w:val="00A530BE"/>
    <w:rsid w:val="00A54C17"/>
    <w:rsid w:val="00A55172"/>
    <w:rsid w:val="00A56362"/>
    <w:rsid w:val="00A5697F"/>
    <w:rsid w:val="00A61376"/>
    <w:rsid w:val="00A633C0"/>
    <w:rsid w:val="00A657BF"/>
    <w:rsid w:val="00A7161F"/>
    <w:rsid w:val="00A723F3"/>
    <w:rsid w:val="00A77DB2"/>
    <w:rsid w:val="00A938EC"/>
    <w:rsid w:val="00A93AAD"/>
    <w:rsid w:val="00A95B16"/>
    <w:rsid w:val="00AA6B4F"/>
    <w:rsid w:val="00AB10BF"/>
    <w:rsid w:val="00AC08CE"/>
    <w:rsid w:val="00AC5A59"/>
    <w:rsid w:val="00AC78C3"/>
    <w:rsid w:val="00AE4C49"/>
    <w:rsid w:val="00AE5B5D"/>
    <w:rsid w:val="00AF02D8"/>
    <w:rsid w:val="00B03A61"/>
    <w:rsid w:val="00B2119A"/>
    <w:rsid w:val="00B21CA4"/>
    <w:rsid w:val="00B2328A"/>
    <w:rsid w:val="00B243A8"/>
    <w:rsid w:val="00B24756"/>
    <w:rsid w:val="00B24A3E"/>
    <w:rsid w:val="00B3199E"/>
    <w:rsid w:val="00B32291"/>
    <w:rsid w:val="00B339E4"/>
    <w:rsid w:val="00B41698"/>
    <w:rsid w:val="00B457C3"/>
    <w:rsid w:val="00B50617"/>
    <w:rsid w:val="00B523AC"/>
    <w:rsid w:val="00B574E9"/>
    <w:rsid w:val="00B62179"/>
    <w:rsid w:val="00B6268D"/>
    <w:rsid w:val="00B630CF"/>
    <w:rsid w:val="00B6570D"/>
    <w:rsid w:val="00B66E1C"/>
    <w:rsid w:val="00B6773C"/>
    <w:rsid w:val="00B73342"/>
    <w:rsid w:val="00B773B8"/>
    <w:rsid w:val="00B80AF1"/>
    <w:rsid w:val="00B80F4C"/>
    <w:rsid w:val="00B84E23"/>
    <w:rsid w:val="00B87A17"/>
    <w:rsid w:val="00B97555"/>
    <w:rsid w:val="00BA09C8"/>
    <w:rsid w:val="00BA0E51"/>
    <w:rsid w:val="00BA5116"/>
    <w:rsid w:val="00BA6044"/>
    <w:rsid w:val="00BB0FA3"/>
    <w:rsid w:val="00BB4A54"/>
    <w:rsid w:val="00BB571B"/>
    <w:rsid w:val="00BB65D1"/>
    <w:rsid w:val="00BC0271"/>
    <w:rsid w:val="00BC12E2"/>
    <w:rsid w:val="00BC3D19"/>
    <w:rsid w:val="00BC4042"/>
    <w:rsid w:val="00BC4921"/>
    <w:rsid w:val="00BC6316"/>
    <w:rsid w:val="00BD04BD"/>
    <w:rsid w:val="00BE3979"/>
    <w:rsid w:val="00BF0BA5"/>
    <w:rsid w:val="00BF0F6C"/>
    <w:rsid w:val="00BF11AE"/>
    <w:rsid w:val="00BF25CC"/>
    <w:rsid w:val="00BF4029"/>
    <w:rsid w:val="00BF4C4A"/>
    <w:rsid w:val="00C04468"/>
    <w:rsid w:val="00C0464F"/>
    <w:rsid w:val="00C10A41"/>
    <w:rsid w:val="00C112A6"/>
    <w:rsid w:val="00C11458"/>
    <w:rsid w:val="00C21654"/>
    <w:rsid w:val="00C227F9"/>
    <w:rsid w:val="00C35BFE"/>
    <w:rsid w:val="00C406B6"/>
    <w:rsid w:val="00C42080"/>
    <w:rsid w:val="00C42328"/>
    <w:rsid w:val="00C43F3E"/>
    <w:rsid w:val="00C53EB3"/>
    <w:rsid w:val="00C57A19"/>
    <w:rsid w:val="00C63B8D"/>
    <w:rsid w:val="00C63CD1"/>
    <w:rsid w:val="00C6552B"/>
    <w:rsid w:val="00C676EE"/>
    <w:rsid w:val="00C747D7"/>
    <w:rsid w:val="00C7500C"/>
    <w:rsid w:val="00C775CF"/>
    <w:rsid w:val="00C77A96"/>
    <w:rsid w:val="00C85693"/>
    <w:rsid w:val="00C919E1"/>
    <w:rsid w:val="00C9351A"/>
    <w:rsid w:val="00C94DE2"/>
    <w:rsid w:val="00C96292"/>
    <w:rsid w:val="00CA1E05"/>
    <w:rsid w:val="00CA4D59"/>
    <w:rsid w:val="00CA6FE6"/>
    <w:rsid w:val="00CB3CA3"/>
    <w:rsid w:val="00CB43D3"/>
    <w:rsid w:val="00CB5C40"/>
    <w:rsid w:val="00CB7E53"/>
    <w:rsid w:val="00CC682C"/>
    <w:rsid w:val="00CC7E5F"/>
    <w:rsid w:val="00CD2365"/>
    <w:rsid w:val="00CD54B1"/>
    <w:rsid w:val="00CD7692"/>
    <w:rsid w:val="00CE69F3"/>
    <w:rsid w:val="00CE6BE9"/>
    <w:rsid w:val="00CE6D4C"/>
    <w:rsid w:val="00CF4534"/>
    <w:rsid w:val="00CF56C3"/>
    <w:rsid w:val="00CF5ECC"/>
    <w:rsid w:val="00D14350"/>
    <w:rsid w:val="00D1453F"/>
    <w:rsid w:val="00D15C22"/>
    <w:rsid w:val="00D17002"/>
    <w:rsid w:val="00D20B08"/>
    <w:rsid w:val="00D20F96"/>
    <w:rsid w:val="00D216BD"/>
    <w:rsid w:val="00D21A79"/>
    <w:rsid w:val="00D26717"/>
    <w:rsid w:val="00D41422"/>
    <w:rsid w:val="00D42DAE"/>
    <w:rsid w:val="00D43CC6"/>
    <w:rsid w:val="00D476F7"/>
    <w:rsid w:val="00D477B7"/>
    <w:rsid w:val="00D509C2"/>
    <w:rsid w:val="00D53431"/>
    <w:rsid w:val="00D54861"/>
    <w:rsid w:val="00D56E9E"/>
    <w:rsid w:val="00D62367"/>
    <w:rsid w:val="00D62489"/>
    <w:rsid w:val="00D675F1"/>
    <w:rsid w:val="00D7370B"/>
    <w:rsid w:val="00D75F7A"/>
    <w:rsid w:val="00D80452"/>
    <w:rsid w:val="00D81CE7"/>
    <w:rsid w:val="00D824FB"/>
    <w:rsid w:val="00D87B96"/>
    <w:rsid w:val="00D90324"/>
    <w:rsid w:val="00D929E1"/>
    <w:rsid w:val="00D94AD9"/>
    <w:rsid w:val="00D9586E"/>
    <w:rsid w:val="00DA08E3"/>
    <w:rsid w:val="00DA2774"/>
    <w:rsid w:val="00DA5B12"/>
    <w:rsid w:val="00DB14F4"/>
    <w:rsid w:val="00DB4789"/>
    <w:rsid w:val="00DB58FE"/>
    <w:rsid w:val="00DC38F2"/>
    <w:rsid w:val="00DC6072"/>
    <w:rsid w:val="00DC6CBD"/>
    <w:rsid w:val="00DD25C6"/>
    <w:rsid w:val="00DD7B15"/>
    <w:rsid w:val="00DE08C5"/>
    <w:rsid w:val="00DE0DAA"/>
    <w:rsid w:val="00DE5F97"/>
    <w:rsid w:val="00DF01F8"/>
    <w:rsid w:val="00E004C9"/>
    <w:rsid w:val="00E043CB"/>
    <w:rsid w:val="00E04CD3"/>
    <w:rsid w:val="00E07527"/>
    <w:rsid w:val="00E120F6"/>
    <w:rsid w:val="00E14DE9"/>
    <w:rsid w:val="00E150B8"/>
    <w:rsid w:val="00E24E3B"/>
    <w:rsid w:val="00E32E97"/>
    <w:rsid w:val="00E4455E"/>
    <w:rsid w:val="00E5224A"/>
    <w:rsid w:val="00E53552"/>
    <w:rsid w:val="00E53F75"/>
    <w:rsid w:val="00E70287"/>
    <w:rsid w:val="00E75179"/>
    <w:rsid w:val="00E75833"/>
    <w:rsid w:val="00E86725"/>
    <w:rsid w:val="00E9088F"/>
    <w:rsid w:val="00E9243F"/>
    <w:rsid w:val="00E92C57"/>
    <w:rsid w:val="00E93700"/>
    <w:rsid w:val="00EA249B"/>
    <w:rsid w:val="00EA6CCB"/>
    <w:rsid w:val="00EB0829"/>
    <w:rsid w:val="00EB185E"/>
    <w:rsid w:val="00EB54B7"/>
    <w:rsid w:val="00EB575C"/>
    <w:rsid w:val="00EB66DD"/>
    <w:rsid w:val="00EC002F"/>
    <w:rsid w:val="00EC0987"/>
    <w:rsid w:val="00EC3FF6"/>
    <w:rsid w:val="00EC68A6"/>
    <w:rsid w:val="00EC71AB"/>
    <w:rsid w:val="00ED01DC"/>
    <w:rsid w:val="00ED2B11"/>
    <w:rsid w:val="00ED4386"/>
    <w:rsid w:val="00ED5036"/>
    <w:rsid w:val="00ED6997"/>
    <w:rsid w:val="00ED76A1"/>
    <w:rsid w:val="00ED79AA"/>
    <w:rsid w:val="00EE0D0B"/>
    <w:rsid w:val="00EE1581"/>
    <w:rsid w:val="00EE5875"/>
    <w:rsid w:val="00EF27B0"/>
    <w:rsid w:val="00EF2D61"/>
    <w:rsid w:val="00EF5993"/>
    <w:rsid w:val="00EF6C68"/>
    <w:rsid w:val="00F000AA"/>
    <w:rsid w:val="00F077FF"/>
    <w:rsid w:val="00F1327C"/>
    <w:rsid w:val="00F21656"/>
    <w:rsid w:val="00F22E3C"/>
    <w:rsid w:val="00F233AA"/>
    <w:rsid w:val="00F23AC6"/>
    <w:rsid w:val="00F256C4"/>
    <w:rsid w:val="00F2680C"/>
    <w:rsid w:val="00F27508"/>
    <w:rsid w:val="00F32F87"/>
    <w:rsid w:val="00F33A99"/>
    <w:rsid w:val="00F43777"/>
    <w:rsid w:val="00F50427"/>
    <w:rsid w:val="00F571BE"/>
    <w:rsid w:val="00F639DD"/>
    <w:rsid w:val="00F64982"/>
    <w:rsid w:val="00F65AEB"/>
    <w:rsid w:val="00F675E6"/>
    <w:rsid w:val="00F755C4"/>
    <w:rsid w:val="00F91167"/>
    <w:rsid w:val="00F93566"/>
    <w:rsid w:val="00FA598F"/>
    <w:rsid w:val="00FA6FC5"/>
    <w:rsid w:val="00FB3C6A"/>
    <w:rsid w:val="00FB46A5"/>
    <w:rsid w:val="00FB55D0"/>
    <w:rsid w:val="00FB67EE"/>
    <w:rsid w:val="00FC3BC5"/>
    <w:rsid w:val="00FE072A"/>
    <w:rsid w:val="00FE1A69"/>
    <w:rsid w:val="00FE7EFB"/>
    <w:rsid w:val="00FF3A36"/>
    <w:rsid w:val="00FF4695"/>
    <w:rsid w:val="00FF51E1"/>
    <w:rsid w:val="3D1F058D"/>
    <w:rsid w:val="41DE8E0F"/>
    <w:rsid w:val="585729B2"/>
    <w:rsid w:val="736FC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61CDF"/>
  <w15:docId w15:val="{83F1A703-F417-4B44-B910-89217879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4E1D02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6A364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9"/>
    <w:qFormat/>
    <w:rsid w:val="004E1D0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0"/>
      <w:szCs w:val="30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2Zchn" w:customStyle="1">
    <w:name w:val="Überschrift 2 Zchn"/>
    <w:basedOn w:val="Absatz-Standardschriftart"/>
    <w:link w:val="berschrift2"/>
    <w:uiPriority w:val="99"/>
    <w:semiHidden/>
    <w:locked/>
    <w:rsid w:val="008B4504"/>
    <w:rPr>
      <w:rFonts w:ascii="Cambria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4E1D02"/>
    <w:pPr>
      <w:spacing w:line="480" w:lineRule="auto"/>
      <w:jc w:val="both"/>
    </w:pPr>
    <w:rPr>
      <w:szCs w:val="20"/>
    </w:rPr>
  </w:style>
  <w:style w:type="character" w:styleId="TextkrperZchn" w:customStyle="1">
    <w:name w:val="Textkörper Zchn"/>
    <w:basedOn w:val="Absatz-Standardschriftart"/>
    <w:link w:val="Textkrper"/>
    <w:uiPriority w:val="99"/>
    <w:semiHidden/>
    <w:locked/>
    <w:rsid w:val="008B4504"/>
    <w:rPr>
      <w:rFonts w:cs="Times New Roman"/>
      <w:sz w:val="24"/>
      <w:szCs w:val="24"/>
    </w:rPr>
  </w:style>
  <w:style w:type="paragraph" w:styleId="StandardWeb">
    <w:name w:val="Normal (Web)"/>
    <w:basedOn w:val="Standard"/>
    <w:uiPriority w:val="99"/>
    <w:rsid w:val="004E1D0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Absatz-Standardschriftart"/>
    <w:uiPriority w:val="99"/>
    <w:rsid w:val="004E1D02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E1D02"/>
    <w:rPr>
      <w:rFonts w:ascii="Arial" w:hAnsi="Arial" w:cs="Arial"/>
      <w:b/>
      <w:bCs/>
      <w:sz w:val="22"/>
    </w:rPr>
  </w:style>
  <w:style w:type="character" w:styleId="Textkrper2Zchn" w:customStyle="1">
    <w:name w:val="Textkörper 2 Zchn"/>
    <w:basedOn w:val="Absatz-Standardschriftart"/>
    <w:link w:val="Textkrper2"/>
    <w:uiPriority w:val="99"/>
    <w:semiHidden/>
    <w:locked/>
    <w:rsid w:val="008B4504"/>
    <w:rPr>
      <w:rFonts w:cs="Times New Roman"/>
      <w:sz w:val="24"/>
      <w:szCs w:val="24"/>
    </w:rPr>
  </w:style>
  <w:style w:type="paragraph" w:styleId="affiliation" w:customStyle="1">
    <w:name w:val="affiliation"/>
    <w:basedOn w:val="Standard"/>
    <w:uiPriority w:val="99"/>
    <w:rsid w:val="004E1D02"/>
    <w:rPr>
      <w:color w:val="000000"/>
    </w:rPr>
  </w:style>
  <w:style w:type="character" w:styleId="ti2" w:customStyle="1">
    <w:name w:val="ti2"/>
    <w:basedOn w:val="Absatz-Standardschriftart"/>
    <w:uiPriority w:val="99"/>
    <w:rsid w:val="004E1D02"/>
    <w:rPr>
      <w:rFonts w:cs="Times New Roman"/>
    </w:rPr>
  </w:style>
  <w:style w:type="character" w:styleId="featuredlinkouts" w:customStyle="1">
    <w:name w:val="featured_linkouts"/>
    <w:basedOn w:val="Absatz-Standardschriftart"/>
    <w:uiPriority w:val="99"/>
    <w:rsid w:val="004E1D02"/>
    <w:rPr>
      <w:rFonts w:cs="Times New Roman"/>
    </w:rPr>
  </w:style>
  <w:style w:type="character" w:styleId="linkbar" w:customStyle="1">
    <w:name w:val="linkbar"/>
    <w:basedOn w:val="Absatz-Standardschriftart"/>
    <w:uiPriority w:val="99"/>
    <w:rsid w:val="004E1D02"/>
    <w:rPr>
      <w:rFonts w:cs="Times New Roman"/>
    </w:rPr>
  </w:style>
  <w:style w:type="character" w:styleId="BesuchterLink">
    <w:name w:val="FollowedHyperlink"/>
    <w:basedOn w:val="Absatz-Standardschriftart"/>
    <w:uiPriority w:val="99"/>
    <w:rsid w:val="004E1D02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4E1D02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locked/>
    <w:rsid w:val="008B4504"/>
    <w:rPr>
      <w:rFonts w:cs="Times New Roman"/>
      <w:sz w:val="2"/>
    </w:rPr>
  </w:style>
  <w:style w:type="paragraph" w:styleId="Titel">
    <w:name w:val="Title"/>
    <w:basedOn w:val="Standard"/>
    <w:next w:val="Standard"/>
    <w:link w:val="TitelZchn"/>
    <w:uiPriority w:val="99"/>
    <w:qFormat/>
    <w:rsid w:val="005638EB"/>
    <w:pPr>
      <w:pBdr>
        <w:bottom w:val="single" w:color="2DA2BF" w:sz="8" w:space="4"/>
      </w:pBdr>
      <w:spacing w:after="300"/>
      <w:contextualSpacing/>
    </w:pPr>
    <w:rPr>
      <w:rFonts w:ascii="Lucida Sans Unicode" w:hAnsi="Lucida Sans Unicode"/>
      <w:color w:val="343434"/>
      <w:spacing w:val="5"/>
      <w:kern w:val="28"/>
      <w:sz w:val="52"/>
      <w:szCs w:val="52"/>
    </w:rPr>
  </w:style>
  <w:style w:type="character" w:styleId="TitelZchn" w:customStyle="1">
    <w:name w:val="Titel Zchn"/>
    <w:basedOn w:val="Absatz-Standardschriftart"/>
    <w:link w:val="Titel"/>
    <w:uiPriority w:val="99"/>
    <w:locked/>
    <w:rsid w:val="005638EB"/>
    <w:rPr>
      <w:rFonts w:ascii="Lucida Sans Unicode" w:hAnsi="Lucida Sans Unicode" w:cs="Times New Roman"/>
      <w:color w:val="343434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rsid w:val="004E1D02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semiHidden/>
    <w:locked/>
    <w:rsid w:val="008B4504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E1D02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locked/>
    <w:rsid w:val="008B4504"/>
    <w:rPr>
      <w:rFonts w:cs="Times New Roman"/>
      <w:sz w:val="24"/>
      <w:szCs w:val="24"/>
    </w:rPr>
  </w:style>
  <w:style w:type="paragraph" w:styleId="berarbeitung">
    <w:name w:val="Revision"/>
    <w:hidden/>
    <w:uiPriority w:val="99"/>
    <w:semiHidden/>
    <w:rsid w:val="00E53F7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35583"/>
    <w:pPr>
      <w:ind w:left="720"/>
      <w:contextualSpacing/>
    </w:pPr>
  </w:style>
  <w:style w:type="character" w:styleId="berschrift1Zchn" w:customStyle="1">
    <w:name w:val="Überschrift 1 Zchn"/>
    <w:basedOn w:val="Absatz-Standardschriftart"/>
    <w:link w:val="berschrift1"/>
    <w:rsid w:val="006A3645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1A1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41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24175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72417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175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724175"/>
    <w:rPr>
      <w:b/>
      <w:bCs/>
      <w:sz w:val="20"/>
      <w:szCs w:val="20"/>
    </w:rPr>
  </w:style>
  <w:style w:type="paragraph" w:styleId="Literaturverzeichnis">
    <w:name w:val="Bibliography"/>
    <w:basedOn w:val="Standard"/>
    <w:next w:val="Standard"/>
    <w:uiPriority w:val="37"/>
    <w:unhideWhenUsed/>
    <w:rsid w:val="00B73342"/>
    <w:pPr>
      <w:tabs>
        <w:tab w:val="left" w:pos="264"/>
      </w:tabs>
      <w:spacing w:line="480" w:lineRule="auto"/>
      <w:ind w:left="264" w:hanging="264"/>
    </w:pPr>
  </w:style>
  <w:style w:type="paragraph" w:styleId="KeinLeerraum">
    <w:name w:val="No Spacing"/>
    <w:uiPriority w:val="1"/>
    <w:qFormat/>
    <w:rsid w:val="00B733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cadia.com/en-us/media/news-releases/acadia-pharmaceuticals-submits-marketing-authorization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accessdata.fda.gov/drugsatfda_docs/label/2023/217026s000lbl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67082CFBF18D4BA04E27C5D27AB1EA" ma:contentTypeVersion="3" ma:contentTypeDescription="Ein neues Dokument erstellen." ma:contentTypeScope="" ma:versionID="35df6c496ed31b469f7935f34ec051cc">
  <xsd:schema xmlns:xsd="http://www.w3.org/2001/XMLSchema" xmlns:xs="http://www.w3.org/2001/XMLSchema" xmlns:p="http://schemas.microsoft.com/office/2006/metadata/properties" xmlns:ns2="87cc2b4d-ac65-4572-a7b7-8db6ea2846c6" targetNamespace="http://schemas.microsoft.com/office/2006/metadata/properties" ma:root="true" ma:fieldsID="5dc499e3112a4c17aa74ba3343a9049a" ns2:_="">
    <xsd:import namespace="87cc2b4d-ac65-4572-a7b7-8db6ea284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c2b4d-ac65-4572-a7b7-8db6ea284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70BFB-59B6-46A8-80F2-4E5BAC7A9433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7cc2b4d-ac65-4572-a7b7-8db6ea2846c6"/>
  </ds:schemaRefs>
</ds:datastoreItem>
</file>

<file path=customXml/itemProps2.xml><?xml version="1.0" encoding="utf-8"?>
<ds:datastoreItem xmlns:ds="http://schemas.openxmlformats.org/officeDocument/2006/customXml" ds:itemID="{C291899E-8BBC-457C-9C4F-02A1DA427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c2b4d-ac65-4572-a7b7-8db6ea284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8C6D1-996B-4D0A-A722-7214C12D0F5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Klinikum der Universitaet Muenchen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Massenkeil</dc:creator>
  <keywords/>
  <lastModifiedBy>Marvin Kirsch</lastModifiedBy>
  <revision>4</revision>
  <lastPrinted>2012-10-09T15:17:00.0000000Z</lastPrinted>
  <dcterms:created xsi:type="dcterms:W3CDTF">2025-10-21T12:10:00.0000000Z</dcterms:created>
  <dcterms:modified xsi:type="dcterms:W3CDTF">2025-10-22T15:38:54.3150755Z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0x0101000967082CFBF18D4BA04E27C5D27AB1EA</vt:lpwstr>
  </property>
  <property fmtid="{D5CDD505-2E9C-101B-9397-08002B2CF9AE}" pid="3" name="Order">
    <vt:r8>72900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ZOTERO_PREF_1">
    <vt:lpwstr>&lt;data data-version="3" zotero-version="7.0.24"&gt;&lt;session id="XU9UiOHo"/&gt;&lt;style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12" name="ZOTERO_PREF_2">
    <vt:lpwstr>ons" value="true"/&gt;&lt;/prefs&gt;&lt;/data&gt;</vt:lpwstr>
  </property>
</Properties>
</file>