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CDC" w14:textId="77777777" w:rsidR="003C0139" w:rsidRDefault="003C0139">
      <w:pPr>
        <w:pStyle w:val="Textkrper"/>
        <w:rPr>
          <w:rFonts w:ascii="Times New Roman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CDF" w14:textId="77777777">
        <w:trPr>
          <w:trHeight w:val="506"/>
        </w:trPr>
        <w:tc>
          <w:tcPr>
            <w:tcW w:w="9214" w:type="dxa"/>
          </w:tcPr>
          <w:p w14:paraId="573A3CDE" w14:textId="77777777" w:rsidR="003C0139" w:rsidRDefault="003B5A83">
            <w:pPr>
              <w:pStyle w:val="TableParagraph"/>
              <w:spacing w:line="254" w:lineRule="exact"/>
              <w:ind w:right="185"/>
              <w:rPr>
                <w:b/>
              </w:rPr>
            </w:pPr>
            <w:r>
              <w:rPr>
                <w:b/>
              </w:rPr>
              <w:t>Haben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externe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Hilfestellungen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Ausfüllen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Formblätter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Anspruch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genommen?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Wenn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ja, bitte geben Sie an, welche Hilfestellung Sie in Anspruch genommen haben?</w:t>
            </w:r>
          </w:p>
        </w:tc>
      </w:tr>
      <w:tr w:rsidR="003C0139" w14:paraId="573A3CE1" w14:textId="77777777">
        <w:trPr>
          <w:trHeight w:val="504"/>
        </w:trPr>
        <w:tc>
          <w:tcPr>
            <w:tcW w:w="9214" w:type="dxa"/>
          </w:tcPr>
          <w:p w14:paraId="573A3CE0" w14:textId="77C9603D" w:rsidR="003C0139" w:rsidRDefault="003B5A83">
            <w:pPr>
              <w:pStyle w:val="TableParagraph"/>
              <w:spacing w:line="252" w:lineRule="exact"/>
              <w:ind w:right="185"/>
            </w:pPr>
            <w:r>
              <w:t>Dieser</w:t>
            </w:r>
            <w:r>
              <w:rPr>
                <w:spacing w:val="-3"/>
              </w:rPr>
              <w:t xml:space="preserve"> </w:t>
            </w:r>
            <w:r>
              <w:t>Antrag</w:t>
            </w:r>
            <w:r>
              <w:rPr>
                <w:spacing w:val="-5"/>
              </w:rPr>
              <w:t xml:space="preserve"> </w:t>
            </w:r>
            <w:r>
              <w:t>wurde</w:t>
            </w:r>
            <w:r>
              <w:rPr>
                <w:spacing w:val="-2"/>
              </w:rPr>
              <w:t xml:space="preserve"> </w:t>
            </w:r>
            <w:r>
              <w:t>durch</w:t>
            </w:r>
            <w:r>
              <w:rPr>
                <w:spacing w:val="-2"/>
              </w:rPr>
              <w:t xml:space="preserve"> </w:t>
            </w:r>
            <w:r w:rsidR="00847FE9">
              <w:rPr>
                <w:spacing w:val="-2"/>
              </w:rPr>
              <w:t xml:space="preserve">den Hersteller </w:t>
            </w:r>
            <w:r>
              <w:rPr>
                <w:spacing w:val="-2"/>
              </w:rPr>
              <w:t>vorformuliert.</w:t>
            </w:r>
          </w:p>
        </w:tc>
      </w:tr>
    </w:tbl>
    <w:p w14:paraId="573A3CE2" w14:textId="77777777" w:rsidR="003C0139" w:rsidRDefault="003C0139">
      <w:pPr>
        <w:pStyle w:val="Textkrper"/>
        <w:spacing w:before="8"/>
        <w:rPr>
          <w:rFonts w:ascii="Times New Roman"/>
          <w:sz w:val="23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CE4" w14:textId="77777777">
        <w:trPr>
          <w:trHeight w:val="254"/>
        </w:trPr>
        <w:tc>
          <w:tcPr>
            <w:tcW w:w="9214" w:type="dxa"/>
          </w:tcPr>
          <w:p w14:paraId="573A3CE3" w14:textId="77777777" w:rsidR="003C0139" w:rsidRDefault="003B5A8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Angefragte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Untersuchungs-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Behandlungsmethode</w:t>
            </w:r>
          </w:p>
        </w:tc>
      </w:tr>
      <w:tr w:rsidR="003C0139" w14:paraId="573A3CE6" w14:textId="77777777">
        <w:trPr>
          <w:trHeight w:val="251"/>
        </w:trPr>
        <w:tc>
          <w:tcPr>
            <w:tcW w:w="9214" w:type="dxa"/>
          </w:tcPr>
          <w:p w14:paraId="573A3CE5" w14:textId="2387EFB3" w:rsidR="003C0139" w:rsidRDefault="00E10F91">
            <w:pPr>
              <w:pStyle w:val="TableParagraph"/>
            </w:pPr>
            <w:proofErr w:type="spellStart"/>
            <w:r>
              <w:rPr>
                <w:spacing w:val="-2"/>
              </w:rPr>
              <w:t>Clesrovimab</w:t>
            </w:r>
            <w:proofErr w:type="spellEnd"/>
          </w:p>
        </w:tc>
      </w:tr>
    </w:tbl>
    <w:p w14:paraId="573A3CE7" w14:textId="77777777" w:rsidR="003C0139" w:rsidRDefault="003C0139">
      <w:pPr>
        <w:pStyle w:val="Textkrper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CE9" w14:textId="77777777">
        <w:trPr>
          <w:trHeight w:val="254"/>
        </w:trPr>
        <w:tc>
          <w:tcPr>
            <w:tcW w:w="9214" w:type="dxa"/>
          </w:tcPr>
          <w:p w14:paraId="573A3CE8" w14:textId="77777777" w:rsidR="003C0139" w:rsidRDefault="003B5A83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Bezeichnung(en)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Methode</w:t>
            </w:r>
          </w:p>
        </w:tc>
      </w:tr>
      <w:tr w:rsidR="003C0139" w14:paraId="573A3CEB" w14:textId="77777777">
        <w:trPr>
          <w:trHeight w:val="251"/>
        </w:trPr>
        <w:tc>
          <w:tcPr>
            <w:tcW w:w="9214" w:type="dxa"/>
          </w:tcPr>
          <w:p w14:paraId="573A3CEA" w14:textId="796CD38A" w:rsidR="003C0139" w:rsidRDefault="00E10F91">
            <w:pPr>
              <w:pStyle w:val="TableParagraph"/>
            </w:pPr>
            <w:proofErr w:type="spellStart"/>
            <w:r>
              <w:t>Enflonsia</w:t>
            </w:r>
            <w:proofErr w:type="spellEnd"/>
            <w:r w:rsidR="004B399F" w:rsidRPr="004B399F">
              <w:rPr>
                <w:vertAlign w:val="superscript"/>
              </w:rPr>
              <w:t>®</w:t>
            </w:r>
          </w:p>
        </w:tc>
      </w:tr>
    </w:tbl>
    <w:p w14:paraId="573A3CEC" w14:textId="77777777" w:rsidR="003C0139" w:rsidRDefault="003C0139">
      <w:pPr>
        <w:pStyle w:val="Textkrper"/>
        <w:rPr>
          <w:rFonts w:ascii="Times New Roman"/>
          <w:sz w:val="24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7E44D9" w14:paraId="573A3CEE" w14:textId="77777777">
        <w:trPr>
          <w:trHeight w:val="506"/>
        </w:trPr>
        <w:tc>
          <w:tcPr>
            <w:tcW w:w="9214" w:type="dxa"/>
          </w:tcPr>
          <w:p w14:paraId="573A3CED" w14:textId="77777777" w:rsidR="003C0139" w:rsidRPr="007E44D9" w:rsidRDefault="003B5A83">
            <w:pPr>
              <w:pStyle w:val="TableParagraph"/>
              <w:spacing w:line="254" w:lineRule="exact"/>
              <w:ind w:right="185"/>
              <w:rPr>
                <w:b/>
              </w:rPr>
            </w:pPr>
            <w:r w:rsidRPr="007E44D9">
              <w:rPr>
                <w:b/>
              </w:rPr>
              <w:t>Beruht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die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neue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Untersuchungs-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und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Behandlungsmethode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vollständig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oder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in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Teilen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auf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dem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Einsatz eines Medizinproduktes?</w:t>
            </w:r>
          </w:p>
        </w:tc>
      </w:tr>
      <w:tr w:rsidR="003C0139" w:rsidRPr="007E44D9" w14:paraId="573A3CF0" w14:textId="77777777">
        <w:trPr>
          <w:trHeight w:val="249"/>
        </w:trPr>
        <w:tc>
          <w:tcPr>
            <w:tcW w:w="9214" w:type="dxa"/>
          </w:tcPr>
          <w:p w14:paraId="573A3CEF" w14:textId="77777777" w:rsidR="003C0139" w:rsidRPr="007E44D9" w:rsidRDefault="003B5A83">
            <w:pPr>
              <w:pStyle w:val="TableParagraph"/>
              <w:spacing w:line="230" w:lineRule="exact"/>
            </w:pPr>
            <w:r w:rsidRPr="007E44D9">
              <w:t>[</w:t>
            </w:r>
            <w:r w:rsidRPr="007E44D9">
              <w:rPr>
                <w:color w:val="000000"/>
                <w:shd w:val="clear" w:color="auto" w:fill="FFFF00"/>
              </w:rPr>
              <w:t xml:space="preserve">nein </w:t>
            </w:r>
            <w:r w:rsidRPr="007E44D9">
              <w:rPr>
                <w:color w:val="000000"/>
                <w:spacing w:val="-2"/>
                <w:shd w:val="clear" w:color="auto" w:fill="FFFF00"/>
              </w:rPr>
              <w:t>ankreuzen</w:t>
            </w:r>
            <w:r w:rsidRPr="007E44D9">
              <w:rPr>
                <w:color w:val="000000"/>
                <w:spacing w:val="-2"/>
              </w:rPr>
              <w:t>]</w:t>
            </w:r>
          </w:p>
        </w:tc>
      </w:tr>
    </w:tbl>
    <w:p w14:paraId="573A3CF1" w14:textId="77777777" w:rsidR="003C0139" w:rsidRPr="007E44D9" w:rsidRDefault="003C0139">
      <w:pPr>
        <w:pStyle w:val="Textkrper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7E44D9" w14:paraId="573A3CF3" w14:textId="77777777" w:rsidTr="5D5C9F06">
        <w:trPr>
          <w:trHeight w:val="506"/>
        </w:trPr>
        <w:tc>
          <w:tcPr>
            <w:tcW w:w="9214" w:type="dxa"/>
          </w:tcPr>
          <w:p w14:paraId="573A3CF2" w14:textId="653D7200" w:rsidR="003C0139" w:rsidRPr="007E44D9" w:rsidRDefault="003B5A83">
            <w:pPr>
              <w:pStyle w:val="TableParagraph"/>
              <w:spacing w:line="252" w:lineRule="exact"/>
              <w:ind w:right="185"/>
              <w:rPr>
                <w:b/>
              </w:rPr>
            </w:pPr>
            <w:r w:rsidRPr="007E44D9">
              <w:rPr>
                <w:b/>
              </w:rPr>
              <w:t>Wurde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für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diese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angefragte</w:t>
            </w:r>
            <w:r w:rsidRPr="007E44D9">
              <w:rPr>
                <w:b/>
                <w:spacing w:val="-6"/>
              </w:rPr>
              <w:t xml:space="preserve"> </w:t>
            </w:r>
            <w:r w:rsidRPr="007E44D9">
              <w:rPr>
                <w:b/>
              </w:rPr>
              <w:t>Untersuchungs-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und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Behandlungsmethode</w:t>
            </w:r>
            <w:r w:rsidRPr="007E44D9">
              <w:rPr>
                <w:b/>
                <w:spacing w:val="-6"/>
              </w:rPr>
              <w:t xml:space="preserve"> </w:t>
            </w:r>
            <w:r w:rsidRPr="007E44D9">
              <w:rPr>
                <w:b/>
              </w:rPr>
              <w:t>von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Ihrem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Krankenhaus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bereits vor dem 01.01.20</w:t>
            </w:r>
            <w:r w:rsidR="00F27165" w:rsidRPr="007E44D9">
              <w:rPr>
                <w:b/>
              </w:rPr>
              <w:t>2</w:t>
            </w:r>
            <w:r w:rsidR="0037617C" w:rsidRPr="007E44D9">
              <w:rPr>
                <w:b/>
              </w:rPr>
              <w:t>5</w:t>
            </w:r>
            <w:r w:rsidRPr="007E44D9">
              <w:rPr>
                <w:b/>
              </w:rPr>
              <w:t xml:space="preserve"> eine Anfrage gemäß §6 Abs. 2 </w:t>
            </w:r>
            <w:proofErr w:type="spellStart"/>
            <w:r w:rsidRPr="007E44D9">
              <w:rPr>
                <w:b/>
              </w:rPr>
              <w:t>KHEntG</w:t>
            </w:r>
            <w:proofErr w:type="spellEnd"/>
            <w:r w:rsidRPr="007E44D9">
              <w:rPr>
                <w:b/>
              </w:rPr>
              <w:t xml:space="preserve"> an das </w:t>
            </w:r>
            <w:proofErr w:type="spellStart"/>
            <w:r w:rsidRPr="007E44D9">
              <w:rPr>
                <w:b/>
              </w:rPr>
              <w:t>InEK</w:t>
            </w:r>
            <w:proofErr w:type="spellEnd"/>
            <w:r w:rsidRPr="007E44D9">
              <w:rPr>
                <w:b/>
              </w:rPr>
              <w:t xml:space="preserve"> übermittelt?</w:t>
            </w:r>
          </w:p>
        </w:tc>
      </w:tr>
      <w:tr w:rsidR="0037617C" w:rsidRPr="007E44D9" w14:paraId="573A3CF5" w14:textId="77777777" w:rsidTr="5D5C9F06">
        <w:trPr>
          <w:trHeight w:val="251"/>
        </w:trPr>
        <w:tc>
          <w:tcPr>
            <w:tcW w:w="9214" w:type="dxa"/>
          </w:tcPr>
          <w:p w14:paraId="573A3CF4" w14:textId="027CC6EA" w:rsidR="0037617C" w:rsidRPr="007E44D9" w:rsidRDefault="0037617C" w:rsidP="0037617C">
            <w:pPr>
              <w:pStyle w:val="TableParagraph"/>
              <w:ind w:left="0"/>
            </w:pPr>
            <w:r w:rsidRPr="007E44D9">
              <w:t xml:space="preserve"> </w:t>
            </w:r>
            <w:r w:rsidRPr="00993368">
              <w:rPr>
                <w:highlight w:val="yellow"/>
              </w:rPr>
              <w:t>[</w:t>
            </w:r>
            <w:r w:rsidR="00993368" w:rsidRPr="00993368">
              <w:rPr>
                <w:highlight w:val="yellow"/>
              </w:rPr>
              <w:t>n</w:t>
            </w:r>
            <w:r w:rsidRPr="00993368">
              <w:rPr>
                <w:highlight w:val="yellow"/>
              </w:rPr>
              <w:t xml:space="preserve">ein ankreuzen, da Medikament bisher noch nicht beim </w:t>
            </w:r>
            <w:proofErr w:type="spellStart"/>
            <w:r w:rsidRPr="00993368">
              <w:rPr>
                <w:highlight w:val="yellow"/>
              </w:rPr>
              <w:t>InEK</w:t>
            </w:r>
            <w:proofErr w:type="spellEnd"/>
            <w:r w:rsidRPr="00993368">
              <w:rPr>
                <w:highlight w:val="yellow"/>
              </w:rPr>
              <w:t xml:space="preserve"> angefragt wurde.]</w:t>
            </w:r>
          </w:p>
        </w:tc>
      </w:tr>
    </w:tbl>
    <w:p w14:paraId="573A3CF6" w14:textId="77777777" w:rsidR="003C0139" w:rsidRPr="007E44D9" w:rsidRDefault="003C0139">
      <w:pPr>
        <w:pStyle w:val="Textkrper"/>
        <w:spacing w:before="1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4"/>
      </w:tblGrid>
      <w:tr w:rsidR="003C0139" w14:paraId="573A3CF8" w14:textId="77777777" w:rsidTr="6FA3F1D9">
        <w:trPr>
          <w:trHeight w:val="158"/>
        </w:trPr>
        <w:tc>
          <w:tcPr>
            <w:tcW w:w="9184" w:type="dxa"/>
          </w:tcPr>
          <w:p w14:paraId="573A3CF7" w14:textId="77777777" w:rsidR="003C0139" w:rsidRDefault="003B5A83">
            <w:pPr>
              <w:pStyle w:val="TableParagraph"/>
              <w:rPr>
                <w:b/>
              </w:rPr>
            </w:pPr>
            <w:r w:rsidRPr="007E44D9">
              <w:rPr>
                <w:b/>
              </w:rPr>
              <w:t>Beschreibung</w:t>
            </w:r>
            <w:r w:rsidRPr="007E44D9">
              <w:rPr>
                <w:b/>
                <w:spacing w:val="-5"/>
              </w:rPr>
              <w:t xml:space="preserve"> </w:t>
            </w:r>
            <w:r w:rsidRPr="007E44D9">
              <w:rPr>
                <w:b/>
              </w:rPr>
              <w:t>der</w:t>
            </w:r>
            <w:r w:rsidRPr="007E44D9">
              <w:rPr>
                <w:b/>
                <w:spacing w:val="-5"/>
              </w:rPr>
              <w:t xml:space="preserve"> </w:t>
            </w:r>
            <w:r w:rsidRPr="007E44D9">
              <w:rPr>
                <w:b/>
              </w:rPr>
              <w:t>neuen</w:t>
            </w:r>
            <w:r w:rsidRPr="007E44D9">
              <w:rPr>
                <w:b/>
                <w:spacing w:val="-5"/>
              </w:rPr>
              <w:t xml:space="preserve"> </w:t>
            </w:r>
            <w:r w:rsidRPr="007E44D9">
              <w:rPr>
                <w:b/>
                <w:spacing w:val="-2"/>
              </w:rPr>
              <w:t>Methode</w:t>
            </w:r>
          </w:p>
        </w:tc>
      </w:tr>
      <w:tr w:rsidR="003C0139" w:rsidRPr="00BB31CB" w14:paraId="573A3D01" w14:textId="77777777" w:rsidTr="6FA3F1D9">
        <w:trPr>
          <w:trHeight w:val="3506"/>
        </w:trPr>
        <w:tc>
          <w:tcPr>
            <w:tcW w:w="9184" w:type="dxa"/>
          </w:tcPr>
          <w:p w14:paraId="02489174" w14:textId="21F0FE0C" w:rsidR="003C0139" w:rsidRPr="008F7BD9" w:rsidRDefault="003B5A83" w:rsidP="00165F04">
            <w:pPr>
              <w:pStyle w:val="TableParagraph"/>
              <w:spacing w:after="120" w:line="252" w:lineRule="exact"/>
              <w:ind w:left="74"/>
              <w:rPr>
                <w:u w:val="single"/>
              </w:rPr>
            </w:pPr>
            <w:r w:rsidRPr="008F7BD9">
              <w:rPr>
                <w:b/>
                <w:bCs/>
                <w:spacing w:val="-2"/>
                <w:u w:val="single"/>
              </w:rPr>
              <w:t>Wirkweise</w:t>
            </w:r>
          </w:p>
          <w:p w14:paraId="5D0110AD" w14:textId="2A656588" w:rsidR="003C0139" w:rsidRPr="00B92479" w:rsidRDefault="6114BB0E" w:rsidP="00B92479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 w:rsidRPr="00B92479">
              <w:rPr>
                <w:spacing w:val="-2"/>
              </w:rPr>
              <w:t>Clesrovimab</w:t>
            </w:r>
            <w:proofErr w:type="spellEnd"/>
            <w:r w:rsidRPr="00B92479">
              <w:rPr>
                <w:spacing w:val="-2"/>
              </w:rPr>
              <w:t xml:space="preserve"> ist ein vollständig humaner, </w:t>
            </w:r>
            <w:r w:rsidR="006A086A">
              <w:rPr>
                <w:spacing w:val="-2"/>
              </w:rPr>
              <w:t xml:space="preserve">neutralisierender </w:t>
            </w:r>
            <w:r w:rsidRPr="00B92479">
              <w:rPr>
                <w:spacing w:val="-2"/>
              </w:rPr>
              <w:t xml:space="preserve">monoklonaler </w:t>
            </w:r>
            <w:r w:rsidR="006A086A" w:rsidRPr="006A086A">
              <w:rPr>
                <w:spacing w:val="-2"/>
              </w:rPr>
              <w:t>Immunglobulin-G1-kappa (IgG1</w:t>
            </w:r>
            <w:proofErr w:type="gramStart"/>
            <w:r w:rsidR="006A086A" w:rsidRPr="006A086A">
              <w:rPr>
                <w:spacing w:val="-2"/>
              </w:rPr>
              <w:t>κ)-</w:t>
            </w:r>
            <w:proofErr w:type="gramEnd"/>
            <w:r w:rsidRPr="00B92479">
              <w:rPr>
                <w:spacing w:val="-2"/>
              </w:rPr>
              <w:t xml:space="preserve">Antikörper zur passiven Immunisierung gegen das humane Respiratorische </w:t>
            </w:r>
            <w:proofErr w:type="spellStart"/>
            <w:r w:rsidRPr="00B92479">
              <w:rPr>
                <w:spacing w:val="-2"/>
              </w:rPr>
              <w:t>Synzytial</w:t>
            </w:r>
            <w:proofErr w:type="spellEnd"/>
            <w:r w:rsidRPr="00B92479">
              <w:rPr>
                <w:spacing w:val="-2"/>
              </w:rPr>
              <w:t xml:space="preserve">-Virus (RSV). </w:t>
            </w:r>
            <w:proofErr w:type="spellStart"/>
            <w:r w:rsidR="006A086A">
              <w:rPr>
                <w:spacing w:val="-2"/>
              </w:rPr>
              <w:t>Clesrovimab</w:t>
            </w:r>
            <w:proofErr w:type="spellEnd"/>
            <w:r w:rsidR="006A086A" w:rsidRPr="00B92479">
              <w:rPr>
                <w:spacing w:val="-2"/>
              </w:rPr>
              <w:t xml:space="preserve"> </w:t>
            </w:r>
            <w:r w:rsidRPr="00B92479">
              <w:rPr>
                <w:spacing w:val="-2"/>
              </w:rPr>
              <w:t xml:space="preserve">bindet spezifisch und mit hoher Affinität </w:t>
            </w:r>
            <w:r w:rsidR="006A086A" w:rsidRPr="006A086A">
              <w:rPr>
                <w:spacing w:val="-2"/>
              </w:rPr>
              <w:t xml:space="preserve">sowohl an die Prä-Fusions- als auch an die Post-Fusionsstruktur des F-Proteins </w:t>
            </w:r>
            <w:r w:rsidRPr="00B92479">
              <w:rPr>
                <w:spacing w:val="-2"/>
              </w:rPr>
              <w:t>an d</w:t>
            </w:r>
            <w:r w:rsidR="006A086A">
              <w:rPr>
                <w:spacing w:val="-2"/>
              </w:rPr>
              <w:t>er</w:t>
            </w:r>
            <w:r w:rsidRPr="00B92479">
              <w:rPr>
                <w:spacing w:val="-2"/>
              </w:rPr>
              <w:t xml:space="preserve"> Antigenposition IV</w:t>
            </w:r>
            <w:r w:rsidR="006A086A">
              <w:rPr>
                <w:spacing w:val="-2"/>
              </w:rPr>
              <w:t>.</w:t>
            </w:r>
            <w:r w:rsidRPr="00B92479">
              <w:rPr>
                <w:spacing w:val="-2"/>
              </w:rPr>
              <w:t xml:space="preserve"> </w:t>
            </w:r>
            <w:proofErr w:type="spellStart"/>
            <w:r w:rsidR="006A086A">
              <w:rPr>
                <w:spacing w:val="-2"/>
              </w:rPr>
              <w:t>Clesrovimab</w:t>
            </w:r>
            <w:proofErr w:type="spellEnd"/>
            <w:r w:rsidR="006A086A">
              <w:rPr>
                <w:spacing w:val="-2"/>
              </w:rPr>
              <w:t xml:space="preserve"> </w:t>
            </w:r>
            <w:r w:rsidRPr="00B92479">
              <w:rPr>
                <w:spacing w:val="-2"/>
              </w:rPr>
              <w:t>verhindert dadurch die Fusion der Virusmembran mit der Membran der Zelle</w:t>
            </w:r>
            <w:r w:rsidR="006A086A">
              <w:rPr>
                <w:spacing w:val="-2"/>
              </w:rPr>
              <w:t xml:space="preserve">, sodass damit </w:t>
            </w:r>
            <w:r w:rsidRPr="00B92479">
              <w:rPr>
                <w:spacing w:val="-2"/>
              </w:rPr>
              <w:t>das Eindringen des RSV in die Zelle und die Ausbreitung über direkte Zell-zu-Zell-Übertragungen verhindert</w:t>
            </w:r>
            <w:r w:rsidR="006A086A">
              <w:rPr>
                <w:spacing w:val="-2"/>
              </w:rPr>
              <w:t xml:space="preserve"> wird (Neutralisation)</w:t>
            </w:r>
            <w:r w:rsidRPr="00B92479">
              <w:rPr>
                <w:spacing w:val="-2"/>
              </w:rPr>
              <w:t xml:space="preserve"> [</w:t>
            </w:r>
            <w:r w:rsidR="20AF5BAD" w:rsidRPr="00B92479">
              <w:rPr>
                <w:spacing w:val="-2"/>
              </w:rPr>
              <w:t>1-4</w:t>
            </w:r>
            <w:r w:rsidRPr="00B92479">
              <w:rPr>
                <w:spacing w:val="-2"/>
              </w:rPr>
              <w:t>]</w:t>
            </w:r>
            <w:r w:rsidR="00683756">
              <w:rPr>
                <w:spacing w:val="-2"/>
              </w:rPr>
              <w:t>.</w:t>
            </w:r>
          </w:p>
          <w:p w14:paraId="573A3CFB" w14:textId="77777777" w:rsidR="003C0139" w:rsidRPr="001B1859" w:rsidRDefault="003C0139" w:rsidP="001B1859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</w:p>
          <w:p w14:paraId="5FF3F987" w14:textId="77777777" w:rsidR="003C0139" w:rsidRPr="008F7BD9" w:rsidRDefault="267FEB33" w:rsidP="00165F04">
            <w:pPr>
              <w:pStyle w:val="TableParagraph"/>
              <w:spacing w:after="120" w:line="252" w:lineRule="exact"/>
              <w:ind w:left="74"/>
              <w:rPr>
                <w:b/>
                <w:bCs/>
                <w:spacing w:val="-2"/>
                <w:u w:val="single"/>
              </w:rPr>
            </w:pPr>
            <w:r w:rsidRPr="008F7BD9">
              <w:rPr>
                <w:b/>
                <w:bCs/>
                <w:spacing w:val="-2"/>
                <w:u w:val="single"/>
              </w:rPr>
              <w:t>Evidenzlage</w:t>
            </w:r>
          </w:p>
          <w:p w14:paraId="21A99410" w14:textId="693DF1F8" w:rsidR="00165F04" w:rsidRDefault="00165F04" w:rsidP="00165F04">
            <w:pPr>
              <w:pStyle w:val="TableParagraph"/>
              <w:spacing w:line="252" w:lineRule="exact"/>
              <w:rPr>
                <w:spacing w:val="-2"/>
              </w:rPr>
            </w:pPr>
            <w:r>
              <w:rPr>
                <w:spacing w:val="-2"/>
              </w:rPr>
              <w:t xml:space="preserve">Die </w:t>
            </w:r>
            <w:r w:rsidRPr="001B1859">
              <w:rPr>
                <w:spacing w:val="-2"/>
              </w:rPr>
              <w:t xml:space="preserve">Sicherheit und Wirksamkeit von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>
              <w:rPr>
                <w:spacing w:val="-2"/>
              </w:rPr>
              <w:t xml:space="preserve"> wurde in </w:t>
            </w:r>
            <w:r w:rsidR="006119DE">
              <w:rPr>
                <w:spacing w:val="-2"/>
              </w:rPr>
              <w:t xml:space="preserve">zwei </w:t>
            </w:r>
            <w:r w:rsidR="002275C7">
              <w:rPr>
                <w:spacing w:val="-2"/>
              </w:rPr>
              <w:t>randomisierten</w:t>
            </w:r>
            <w:r w:rsidR="006119DE">
              <w:rPr>
                <w:spacing w:val="-2"/>
              </w:rPr>
              <w:t xml:space="preserve"> Studien</w:t>
            </w:r>
            <w:r w:rsidR="00722746">
              <w:rPr>
                <w:spacing w:val="-2"/>
              </w:rPr>
              <w:t xml:space="preserve"> CLEVER</w:t>
            </w:r>
            <w:r w:rsidR="002275C7">
              <w:rPr>
                <w:spacing w:val="-2"/>
              </w:rPr>
              <w:t xml:space="preserve"> (</w:t>
            </w:r>
            <w:r w:rsidR="002275C7" w:rsidRPr="002275C7">
              <w:rPr>
                <w:spacing w:val="-2"/>
              </w:rPr>
              <w:t xml:space="preserve">doppelblinde, randomisierte, </w:t>
            </w:r>
            <w:proofErr w:type="spellStart"/>
            <w:r w:rsidR="002275C7" w:rsidRPr="002275C7">
              <w:rPr>
                <w:spacing w:val="-2"/>
              </w:rPr>
              <w:t>placebo</w:t>
            </w:r>
            <w:proofErr w:type="spellEnd"/>
            <w:r w:rsidR="002275C7" w:rsidRPr="002275C7">
              <w:rPr>
                <w:spacing w:val="-2"/>
              </w:rPr>
              <w:t xml:space="preserve">-kontrollierte </w:t>
            </w:r>
            <w:r w:rsidR="002275C7">
              <w:rPr>
                <w:spacing w:val="-2"/>
              </w:rPr>
              <w:t>Phase 2b/3</w:t>
            </w:r>
            <w:r w:rsidR="006119DE">
              <w:rPr>
                <w:spacing w:val="-2"/>
              </w:rPr>
              <w:t xml:space="preserve"> </w:t>
            </w:r>
            <w:r w:rsidR="002275C7">
              <w:rPr>
                <w:spacing w:val="-2"/>
              </w:rPr>
              <w:t xml:space="preserve">Studie) </w:t>
            </w:r>
            <w:r w:rsidR="00722746">
              <w:rPr>
                <w:spacing w:val="-2"/>
              </w:rPr>
              <w:t>und SMART (</w:t>
            </w:r>
            <w:r w:rsidR="00722746" w:rsidRPr="00722746">
              <w:rPr>
                <w:spacing w:val="-2"/>
              </w:rPr>
              <w:t>multizentrische, randomisierte, teil</w:t>
            </w:r>
            <w:r w:rsidR="005B7B2A">
              <w:rPr>
                <w:spacing w:val="-2"/>
              </w:rPr>
              <w:t>-</w:t>
            </w:r>
            <w:r w:rsidR="00722746" w:rsidRPr="00722746">
              <w:rPr>
                <w:spacing w:val="-2"/>
              </w:rPr>
              <w:t>verblindete, kontrollierte Phase</w:t>
            </w:r>
            <w:r w:rsidR="00722746">
              <w:rPr>
                <w:spacing w:val="-2"/>
              </w:rPr>
              <w:t xml:space="preserve"> </w:t>
            </w:r>
            <w:r w:rsidR="00722746" w:rsidRPr="00722746">
              <w:rPr>
                <w:spacing w:val="-2"/>
              </w:rPr>
              <w:t>3</w:t>
            </w:r>
            <w:r w:rsidR="00722746">
              <w:rPr>
                <w:spacing w:val="-2"/>
              </w:rPr>
              <w:t xml:space="preserve"> </w:t>
            </w:r>
            <w:r w:rsidR="00722746" w:rsidRPr="00722746">
              <w:rPr>
                <w:spacing w:val="-2"/>
              </w:rPr>
              <w:t>Studie</w:t>
            </w:r>
            <w:r w:rsidR="00722746">
              <w:rPr>
                <w:spacing w:val="-2"/>
              </w:rPr>
              <w:t xml:space="preserve">) </w:t>
            </w:r>
            <w:r w:rsidR="002275C7">
              <w:rPr>
                <w:spacing w:val="-2"/>
              </w:rPr>
              <w:t>untersucht</w:t>
            </w:r>
            <w:r w:rsidR="006119DE">
              <w:rPr>
                <w:spacing w:val="-2"/>
              </w:rPr>
              <w:t xml:space="preserve">. </w:t>
            </w:r>
          </w:p>
          <w:p w14:paraId="270276A3" w14:textId="77777777" w:rsidR="00165F04" w:rsidRDefault="00165F04" w:rsidP="00165F04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</w:p>
          <w:p w14:paraId="51FC5771" w14:textId="02735E70" w:rsidR="003C0139" w:rsidRPr="00957490" w:rsidRDefault="00165F04" w:rsidP="001B1859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  <w:r w:rsidRPr="00957490">
              <w:rPr>
                <w:b/>
                <w:bCs/>
                <w:spacing w:val="-2"/>
              </w:rPr>
              <w:t>CLEVER</w:t>
            </w:r>
            <w:r w:rsidR="007F1561" w:rsidRPr="00957490">
              <w:rPr>
                <w:b/>
                <w:bCs/>
                <w:spacing w:val="-2"/>
              </w:rPr>
              <w:t>-Studie</w:t>
            </w:r>
          </w:p>
          <w:p w14:paraId="35F074D4" w14:textId="186C41EA" w:rsidR="003C0139" w:rsidRPr="001B1859" w:rsidRDefault="29E68329" w:rsidP="001B1859">
            <w:pPr>
              <w:pStyle w:val="TableParagraph"/>
              <w:spacing w:line="252" w:lineRule="exact"/>
            </w:pPr>
            <w:r w:rsidRPr="001B1859">
              <w:rPr>
                <w:spacing w:val="-2"/>
              </w:rPr>
              <w:t xml:space="preserve">MK-1654-004 (NCT04767373) ist eine doppelblinde, randomisierte, </w:t>
            </w:r>
            <w:proofErr w:type="spellStart"/>
            <w:r w:rsidRPr="001B1859">
              <w:rPr>
                <w:spacing w:val="-2"/>
              </w:rPr>
              <w:t>placebo</w:t>
            </w:r>
            <w:proofErr w:type="spellEnd"/>
            <w:r w:rsidRPr="001B1859">
              <w:rPr>
                <w:spacing w:val="-2"/>
              </w:rPr>
              <w:t>-kontrollierte klinische Studie der Phase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2b/3 [</w:t>
            </w:r>
            <w:r w:rsidR="50E0788C" w:rsidRPr="001B1859">
              <w:rPr>
                <w:spacing w:val="-2"/>
              </w:rPr>
              <w:t>5</w:t>
            </w:r>
            <w:r w:rsidRPr="001B1859">
              <w:rPr>
                <w:spacing w:val="-2"/>
              </w:rPr>
              <w:t>,</w:t>
            </w:r>
            <w:r w:rsidR="38602043" w:rsidRPr="001B1859">
              <w:rPr>
                <w:spacing w:val="-2"/>
              </w:rPr>
              <w:t>6-8</w:t>
            </w:r>
            <w:r w:rsidRPr="001B1859">
              <w:rPr>
                <w:spacing w:val="-2"/>
              </w:rPr>
              <w:t xml:space="preserve">] zur Bewertung der Sicherheit und Wirksamkeit von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bei gesunden Frühgeborenen (Gestationsalter: ≥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29 Wochen bis &lt;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35 Wochen) und reifgeborenen Säuglingen (Gestationsalter ≥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35 Wochen) von der Geburt bis zum Alter von einem Jahr zum Eintritt in ihre erste RSV-Saison. In die Phase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2b-Studie (n = 300) wurden Säuglinge mit einem Alter von &gt;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 Wochen bis zu einem Jahr mit Eintritt in die erste RSV-Saison eingeschlossen. In der Phase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3</w:t>
            </w:r>
            <w:r w:rsidR="007E44D9">
              <w:rPr>
                <w:spacing w:val="-2"/>
              </w:rPr>
              <w:t>-</w:t>
            </w:r>
            <w:r w:rsidRPr="001B1859">
              <w:rPr>
                <w:spacing w:val="-2"/>
              </w:rPr>
              <w:t>Kohorte (n = 3332) wurde</w:t>
            </w:r>
            <w:r w:rsidR="1A7B3D2E">
              <w:rPr>
                <w:spacing w:val="-2"/>
              </w:rPr>
              <w:t>n</w:t>
            </w:r>
            <w:r w:rsidR="007E44D9">
              <w:rPr>
                <w:spacing w:val="-2"/>
              </w:rPr>
              <w:t xml:space="preserve"> </w:t>
            </w:r>
            <w:r>
              <w:t xml:space="preserve">bereits </w:t>
            </w:r>
            <w:r w:rsidRPr="001B1859">
              <w:rPr>
                <w:spacing w:val="-2"/>
              </w:rPr>
              <w:t xml:space="preserve">Säuglinge von Geburt bis zu einem </w:t>
            </w:r>
            <w:r w:rsidR="4B1D7866" w:rsidRPr="001B1859">
              <w:rPr>
                <w:spacing w:val="-2"/>
              </w:rPr>
              <w:t xml:space="preserve">Alter von einem </w:t>
            </w:r>
            <w:r w:rsidRPr="001B1859">
              <w:rPr>
                <w:spacing w:val="-2"/>
              </w:rPr>
              <w:t>Jahr mit Eintritt in die erste RSV-Saison berücksichtigt. Die Säuglinge wurden im Verhältnis 2:1 randomisiert und erhielten an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1 eine Einzeldosis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(105 mg, </w:t>
            </w:r>
            <w:proofErr w:type="spellStart"/>
            <w:r w:rsidRPr="001B1859">
              <w:rPr>
                <w:spacing w:val="-2"/>
              </w:rPr>
              <w:t>i.m</w:t>
            </w:r>
            <w:proofErr w:type="spellEnd"/>
            <w:r w:rsidRPr="001B1859">
              <w:rPr>
                <w:spacing w:val="-2"/>
              </w:rPr>
              <w:t>.) oder Placebo.</w:t>
            </w:r>
          </w:p>
          <w:p w14:paraId="5DEB1B24" w14:textId="4C152FE4" w:rsidR="003C0139" w:rsidRPr="001B1859" w:rsidRDefault="29E68329" w:rsidP="001B1859">
            <w:pPr>
              <w:pStyle w:val="TableParagraph"/>
              <w:spacing w:line="252" w:lineRule="exact"/>
            </w:pPr>
            <w:r w:rsidRPr="001B1859">
              <w:rPr>
                <w:spacing w:val="-2"/>
              </w:rPr>
              <w:t>Primärer Endpunkt war der Prozentsatz der Teilnehmer mit RSV-assoziierten medizinisch behandelten Infektionen der unteren Atemwege (MALRI) von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1 (nach der Dosis) bis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150 im Vergleich zu P</w:t>
            </w:r>
            <w:r w:rsidR="693675D8" w:rsidRPr="001B1859">
              <w:rPr>
                <w:spacing w:val="-2"/>
              </w:rPr>
              <w:t>l</w:t>
            </w:r>
            <w:r w:rsidRPr="001B1859">
              <w:rPr>
                <w:spacing w:val="-2"/>
              </w:rPr>
              <w:t>acebo sowie der Anteil an Teilnehmer</w:t>
            </w:r>
            <w:r w:rsidR="4F120DD1">
              <w:t>n</w:t>
            </w:r>
            <w:r w:rsidRPr="001B1859">
              <w:rPr>
                <w:spacing w:val="-2"/>
              </w:rPr>
              <w:t xml:space="preserve"> mit unerwünschten Nebenwirkungen. Zu den sekundären Endpunkten gehörten RSV-assoziierte Hospitalisierungen sowie RSV-Infektionen von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150 bis 180, zu den tertiären Endpunkten RSV-assoziierte </w:t>
            </w:r>
            <w:r w:rsidRPr="001B1859">
              <w:rPr>
                <w:spacing w:val="-2"/>
              </w:rPr>
              <w:lastRenderedPageBreak/>
              <w:t>Krankenhausaufenthalte aufgrund einer schweren Infektion der unteren Atemwege bis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150 (5 Monate) im Vergleich zu Placebo</w:t>
            </w:r>
            <w:r w:rsidR="7939F845">
              <w:t>.</w:t>
            </w:r>
            <w:r w:rsidRPr="001B1859">
              <w:rPr>
                <w:spacing w:val="-2"/>
              </w:rPr>
              <w:t xml:space="preserve"> </w:t>
            </w:r>
          </w:p>
          <w:p w14:paraId="377DC271" w14:textId="1A5ABE4E" w:rsidR="52EF1815" w:rsidRPr="00657F5B" w:rsidRDefault="52EF1815" w:rsidP="007E44D9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zeigte eine deutliche Reduktion von milden, moderaten und schweren RSV-Infektionen gesunder Säuglinge, inklusive Frühgeborener. Bei RSV-assoziierten medizinisch behandelten unteren Atemwegsinfektionen (MALRI) ergab sich bis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150 (5 Monate) nach der Verabreichung von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eine Risikoreduktion von 60,4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% (95 % KI: 44,1, 71,9, p &lt; 0,001) im Vergleich zu Placebo (primärer Endpunkt).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reduzierte auch RSV-assoziierte Hospitalisierungen (sekundärer Endpunkt) und mit RSV-assoziierte Krankenhausaufenthalte aufgrund einer schweren Infektion der unteren Atemwege (tertiärer Endpunkt) bis Tag</w:t>
            </w:r>
            <w:r w:rsidR="007E44D9">
              <w:rPr>
                <w:spacing w:val="-2"/>
              </w:rPr>
              <w:t> 1</w:t>
            </w:r>
            <w:r w:rsidRPr="001B1859">
              <w:rPr>
                <w:spacing w:val="-2"/>
              </w:rPr>
              <w:t>50 im Vergleich zu Placebo um 84,2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% (95 % KI: 66,6; 92,6; p &lt; 0,001) bzw. 90,9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% (95 % KI: 76,2; </w:t>
            </w:r>
            <w:r w:rsidRPr="007E44D9">
              <w:rPr>
                <w:spacing w:val="-2"/>
              </w:rPr>
              <w:t xml:space="preserve">96,5). </w:t>
            </w:r>
            <w:proofErr w:type="spellStart"/>
            <w:r w:rsidRPr="00657F5B">
              <w:rPr>
                <w:spacing w:val="-2"/>
              </w:rPr>
              <w:t>Clesrovimab</w:t>
            </w:r>
            <w:proofErr w:type="spellEnd"/>
            <w:r w:rsidRPr="00657F5B">
              <w:rPr>
                <w:spacing w:val="-2"/>
              </w:rPr>
              <w:t xml:space="preserve"> senkte die Inzidenz schwerer MALRI (</w:t>
            </w:r>
            <w:proofErr w:type="spellStart"/>
            <w:r w:rsidR="00DC0041" w:rsidRPr="00657F5B">
              <w:rPr>
                <w:spacing w:val="-2"/>
              </w:rPr>
              <w:t>medically</w:t>
            </w:r>
            <w:proofErr w:type="spellEnd"/>
            <w:r w:rsidR="00DC0041" w:rsidRPr="00657F5B">
              <w:rPr>
                <w:spacing w:val="-2"/>
              </w:rPr>
              <w:t xml:space="preserve"> </w:t>
            </w:r>
            <w:proofErr w:type="spellStart"/>
            <w:r w:rsidR="00DC0041" w:rsidRPr="00657F5B">
              <w:rPr>
                <w:spacing w:val="-2"/>
              </w:rPr>
              <w:t>attended</w:t>
            </w:r>
            <w:proofErr w:type="spellEnd"/>
            <w:r w:rsidR="00DC0041" w:rsidRPr="00657F5B">
              <w:rPr>
                <w:spacing w:val="-2"/>
              </w:rPr>
              <w:t xml:space="preserve"> </w:t>
            </w:r>
            <w:proofErr w:type="spellStart"/>
            <w:r w:rsidR="00DC0041" w:rsidRPr="00657F5B">
              <w:rPr>
                <w:spacing w:val="-2"/>
              </w:rPr>
              <w:t>lower</w:t>
            </w:r>
            <w:proofErr w:type="spellEnd"/>
            <w:r w:rsidR="00DC0041" w:rsidRPr="00657F5B">
              <w:rPr>
                <w:spacing w:val="-2"/>
              </w:rPr>
              <w:t xml:space="preserve"> </w:t>
            </w:r>
            <w:proofErr w:type="spellStart"/>
            <w:r w:rsidR="00DC0041" w:rsidRPr="00657F5B">
              <w:rPr>
                <w:spacing w:val="-2"/>
              </w:rPr>
              <w:t>respiratory</w:t>
            </w:r>
            <w:proofErr w:type="spellEnd"/>
            <w:r w:rsidR="00DC0041" w:rsidRPr="00657F5B">
              <w:rPr>
                <w:spacing w:val="-2"/>
              </w:rPr>
              <w:t xml:space="preserve"> tract </w:t>
            </w:r>
            <w:proofErr w:type="spellStart"/>
            <w:r w:rsidR="00DC0041" w:rsidRPr="00657F5B">
              <w:rPr>
                <w:spacing w:val="-2"/>
              </w:rPr>
              <w:t>infection</w:t>
            </w:r>
            <w:proofErr w:type="spellEnd"/>
            <w:r w:rsidR="00DC0041" w:rsidRPr="00657F5B">
              <w:rPr>
                <w:spacing w:val="-2"/>
              </w:rPr>
              <w:t xml:space="preserve">; </w:t>
            </w:r>
            <w:r w:rsidRPr="00657F5B">
              <w:rPr>
                <w:spacing w:val="-2"/>
              </w:rPr>
              <w:t>tertiärer Endpunkt) um 91,7 % (95 % KI: 62,9; 98,1) [</w:t>
            </w:r>
            <w:r w:rsidR="6A6057E9" w:rsidRPr="00657F5B">
              <w:rPr>
                <w:spacing w:val="-2"/>
              </w:rPr>
              <w:t>5</w:t>
            </w:r>
            <w:r w:rsidRPr="00657F5B">
              <w:rPr>
                <w:spacing w:val="-2"/>
              </w:rPr>
              <w:t>]</w:t>
            </w:r>
            <w:r w:rsidR="00683756" w:rsidRPr="00657F5B">
              <w:rPr>
                <w:spacing w:val="-2"/>
              </w:rPr>
              <w:t>.</w:t>
            </w:r>
            <w:r w:rsidRPr="00657F5B">
              <w:rPr>
                <w:rFonts w:ascii="Arial" w:eastAsia="Arial" w:hAnsi="Arial" w:cs="Arial"/>
              </w:rPr>
              <w:t xml:space="preserve"> </w:t>
            </w:r>
          </w:p>
          <w:p w14:paraId="22BDF3DC" w14:textId="72E8AE15" w:rsidR="52EF1815" w:rsidRPr="00165F04" w:rsidRDefault="52EF1815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  <w:proofErr w:type="spellStart"/>
            <w:r w:rsidRPr="007E44D9">
              <w:rPr>
                <w:spacing w:val="-2"/>
              </w:rPr>
              <w:t>Clesrovimab</w:t>
            </w:r>
            <w:proofErr w:type="spellEnd"/>
            <w:r w:rsidRPr="007E44D9">
              <w:rPr>
                <w:spacing w:val="-2"/>
              </w:rPr>
              <w:t xml:space="preserve"> zeigte über alle Endpunkte hinweg eine anhaltende Wirksamkeit </w:t>
            </w:r>
            <w:r w:rsidRPr="00165F04">
              <w:rPr>
                <w:spacing w:val="-2"/>
              </w:rPr>
              <w:t>für einen Zeitraum von 6</w:t>
            </w:r>
            <w:r w:rsidR="00421DB5">
              <w:rPr>
                <w:spacing w:val="-2"/>
              </w:rPr>
              <w:t> </w:t>
            </w:r>
            <w:r w:rsidRPr="00165F04">
              <w:rPr>
                <w:spacing w:val="-2"/>
              </w:rPr>
              <w:t xml:space="preserve">Monaten und es konnte kein Shift der RSV-Krankheitslast in die </w:t>
            </w:r>
            <w:r w:rsidR="00421DB5">
              <w:rPr>
                <w:spacing w:val="-2"/>
              </w:rPr>
              <w:t>zweite</w:t>
            </w:r>
            <w:r w:rsidRPr="00165F04">
              <w:rPr>
                <w:spacing w:val="-2"/>
              </w:rPr>
              <w:t xml:space="preserve"> RSV-Saison beobachtet werden.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wurde sowohl von reif- als auch frühgeborenen Säuglingen gut vertragen und das Sicherheitsprofil war vergleichbar mit Placebo.</w:t>
            </w:r>
          </w:p>
          <w:p w14:paraId="7DC986A7" w14:textId="29560472" w:rsidR="5EEA0CB4" w:rsidRPr="00165F04" w:rsidRDefault="5EEA0CB4" w:rsidP="00165F04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</w:p>
          <w:p w14:paraId="7D1183E6" w14:textId="1DA3B1ED" w:rsidR="52EF1815" w:rsidRPr="00165F04" w:rsidRDefault="00165F04" w:rsidP="00165F04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SMART</w:t>
            </w:r>
            <w:r w:rsidR="007F1561">
              <w:rPr>
                <w:b/>
                <w:bCs/>
                <w:spacing w:val="-2"/>
              </w:rPr>
              <w:t>-Studie</w:t>
            </w:r>
          </w:p>
          <w:p w14:paraId="7086CFCE" w14:textId="729774F2" w:rsidR="52EF1815" w:rsidRPr="00165F04" w:rsidRDefault="29E68329" w:rsidP="00165F04">
            <w:pPr>
              <w:pStyle w:val="TableParagraph"/>
              <w:spacing w:after="120" w:line="252" w:lineRule="exact"/>
              <w:ind w:left="74"/>
            </w:pPr>
            <w:r w:rsidRPr="00165F04">
              <w:rPr>
                <w:spacing w:val="-2"/>
              </w:rPr>
              <w:t xml:space="preserve">Die multizentrische, randomisierte, teil-verblindete, kontrollierte Phase-3-Studie SMART [9] zur Bewertung der Sicherheit, Wirksamkeit und Pharmakokinetik von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bei Säuglingen und Kindern mit erhöhtem Risiko für schwere RSV-Erkrankungen im Vergleich zu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</w:t>
            </w:r>
            <w:r w:rsidR="2D0134AB" w:rsidRPr="00165F04">
              <w:rPr>
                <w:spacing w:val="-2"/>
              </w:rPr>
              <w:t>wird voraussichtlich im Herbst 2025 beendet werden</w:t>
            </w:r>
            <w:r w:rsidRPr="00165F04">
              <w:rPr>
                <w:spacing w:val="-2"/>
              </w:rPr>
              <w:t xml:space="preserve">. Im Rahmen dieser Studie wird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in der </w:t>
            </w:r>
            <w:r w:rsidR="00421DB5">
              <w:rPr>
                <w:spacing w:val="-2"/>
              </w:rPr>
              <w:t xml:space="preserve">ersten </w:t>
            </w:r>
            <w:r w:rsidRPr="00165F04">
              <w:rPr>
                <w:spacing w:val="-2"/>
              </w:rPr>
              <w:t>RSV-Saison mit einer intramuskulären (</w:t>
            </w:r>
            <w:proofErr w:type="spellStart"/>
            <w:r w:rsidRPr="00165F04">
              <w:rPr>
                <w:spacing w:val="-2"/>
              </w:rPr>
              <w:t>i.m</w:t>
            </w:r>
            <w:proofErr w:type="spellEnd"/>
            <w:r w:rsidRPr="00165F04">
              <w:rPr>
                <w:spacing w:val="-2"/>
              </w:rPr>
              <w:t>.) Einzeldosis von 105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 an Tag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1, gefolgt von Placebo an Tag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28 oder 3</w:t>
            </w:r>
            <w:r w:rsidR="007F3348">
              <w:rPr>
                <w:spacing w:val="-2"/>
              </w:rPr>
              <w:t>-</w:t>
            </w:r>
            <w:r w:rsidRPr="00165F04">
              <w:rPr>
                <w:spacing w:val="-2"/>
              </w:rPr>
              <w:t xml:space="preserve">5 Dosen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und in der </w:t>
            </w:r>
            <w:r w:rsidR="00421DB5">
              <w:rPr>
                <w:spacing w:val="-2"/>
              </w:rPr>
              <w:t xml:space="preserve">zweiten </w:t>
            </w:r>
            <w:r w:rsidRPr="00165F04">
              <w:rPr>
                <w:spacing w:val="-2"/>
              </w:rPr>
              <w:t>RSV-Saison open-label mit einer Dosierung von 210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 untersucht.</w:t>
            </w:r>
            <w:r w:rsidR="2D0134AB">
              <w:rPr>
                <w:spacing w:val="-2"/>
              </w:rPr>
              <w:t xml:space="preserve"> </w:t>
            </w:r>
            <w:r w:rsidRPr="00165F04">
              <w:rPr>
                <w:spacing w:val="-2"/>
              </w:rPr>
              <w:t xml:space="preserve">Die Interims-Analyse </w:t>
            </w:r>
            <w:r w:rsidR="2B200F35" w:rsidRPr="00165F04">
              <w:rPr>
                <w:spacing w:val="-2"/>
              </w:rPr>
              <w:t xml:space="preserve">umfasst die Daten </w:t>
            </w:r>
            <w:r w:rsidR="007F3348">
              <w:rPr>
                <w:spacing w:val="-2"/>
              </w:rPr>
              <w:t xml:space="preserve">von </w:t>
            </w:r>
            <w:r w:rsidR="2B200F35" w:rsidRPr="00165F04">
              <w:rPr>
                <w:spacing w:val="-2"/>
              </w:rPr>
              <w:t>ca.</w:t>
            </w:r>
            <w:r w:rsidR="007F3348">
              <w:rPr>
                <w:spacing w:val="-2"/>
              </w:rPr>
              <w:t xml:space="preserve"> </w:t>
            </w:r>
            <w:r w:rsidR="286A54E3">
              <w:rPr>
                <w:spacing w:val="-2"/>
              </w:rPr>
              <w:t>900 Kindern (</w:t>
            </w:r>
            <w:r w:rsidR="2B200F35" w:rsidRPr="00165F04">
              <w:rPr>
                <w:spacing w:val="-2"/>
              </w:rPr>
              <w:t>ca.</w:t>
            </w:r>
            <w:r w:rsidR="007F3348">
              <w:rPr>
                <w:spacing w:val="-2"/>
              </w:rPr>
              <w:t xml:space="preserve"> </w:t>
            </w:r>
            <w:r w:rsidR="2B200F35" w:rsidRPr="00165F04">
              <w:rPr>
                <w:spacing w:val="-2"/>
              </w:rPr>
              <w:t>90 % der geplanten Studienpopulation</w:t>
            </w:r>
            <w:r w:rsidR="4A1ECCAD" w:rsidRPr="00165F04">
              <w:rPr>
                <w:spacing w:val="-2"/>
              </w:rPr>
              <w:t>)</w:t>
            </w:r>
            <w:r w:rsidR="007F3348">
              <w:rPr>
                <w:spacing w:val="-2"/>
              </w:rPr>
              <w:t xml:space="preserve"> </w:t>
            </w:r>
            <w:r w:rsidRPr="00165F04">
              <w:rPr>
                <w:spacing w:val="-2"/>
              </w:rPr>
              <w:t>[</w:t>
            </w:r>
            <w:r w:rsidR="54C928D1" w:rsidRPr="00165F04">
              <w:rPr>
                <w:spacing w:val="-2"/>
              </w:rPr>
              <w:t>11</w:t>
            </w:r>
            <w:r w:rsidR="541FB2BD" w:rsidRPr="00165F04">
              <w:rPr>
                <w:spacing w:val="-2"/>
              </w:rPr>
              <w:t>,12</w:t>
            </w:r>
            <w:r w:rsidRPr="00165F04">
              <w:rPr>
                <w:spacing w:val="-2"/>
              </w:rPr>
              <w:t>].</w:t>
            </w:r>
          </w:p>
          <w:p w14:paraId="07C3139D" w14:textId="404E8A7E" w:rsidR="52EF1815" w:rsidRPr="00165F04" w:rsidRDefault="52EF1815" w:rsidP="00165F04">
            <w:pPr>
              <w:pStyle w:val="TableParagraph"/>
              <w:spacing w:after="120" w:line="252" w:lineRule="exact"/>
              <w:ind w:left="74"/>
            </w:pPr>
            <w:r w:rsidRPr="00165F04">
              <w:rPr>
                <w:spacing w:val="-2"/>
              </w:rPr>
              <w:t>In die Studie wurden</w:t>
            </w:r>
            <w:r w:rsidR="00B04BCE">
              <w:rPr>
                <w:spacing w:val="-2"/>
              </w:rPr>
              <w:t xml:space="preserve"> Neugeborene und</w:t>
            </w:r>
            <w:r w:rsidRPr="00165F04">
              <w:rPr>
                <w:spacing w:val="-2"/>
              </w:rPr>
              <w:t xml:space="preserve"> Säuglinge eingeschlossen mit einem Alter von Geburt </w:t>
            </w:r>
            <w:proofErr w:type="gramStart"/>
            <w:r w:rsidRPr="00165F04">
              <w:rPr>
                <w:spacing w:val="-2"/>
              </w:rPr>
              <w:t>bis einem Jahr</w:t>
            </w:r>
            <w:proofErr w:type="gramEnd"/>
            <w:r w:rsidRPr="00165F04">
              <w:rPr>
                <w:spacing w:val="-2"/>
              </w:rPr>
              <w:t xml:space="preserve"> zum Zeitpunkt des Eintritts in ihre </w:t>
            </w:r>
            <w:r w:rsidR="00421DB5">
              <w:rPr>
                <w:spacing w:val="-2"/>
              </w:rPr>
              <w:t xml:space="preserve">erste </w:t>
            </w:r>
            <w:r w:rsidRPr="00165F04">
              <w:rPr>
                <w:spacing w:val="-2"/>
              </w:rPr>
              <w:t xml:space="preserve">RSV-Saison und denen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aufgrund von Frühgeburtlichkeit </w:t>
            </w:r>
            <w:r w:rsidR="00224AB4">
              <w:rPr>
                <w:spacing w:val="-2"/>
              </w:rPr>
              <w:t>(</w:t>
            </w:r>
            <w:r w:rsidRPr="00165F04">
              <w:rPr>
                <w:spacing w:val="-2"/>
              </w:rPr>
              <w:t xml:space="preserve">≤ 35. Schwangerschaftswoche), chronischer Lungenerkrankung (CLD) oder hämodynamisch signifikanter angeborener Herzerkrankung (CHD) empfohlen wurde. Die Teilnehmer wurden im Verhältnis 1:1 randomisiert und erhielten in ihrer </w:t>
            </w:r>
            <w:r w:rsidR="00421DB5">
              <w:rPr>
                <w:spacing w:val="-2"/>
              </w:rPr>
              <w:t>erste</w:t>
            </w:r>
            <w:r w:rsidR="2A000B3B">
              <w:rPr>
                <w:spacing w:val="-2"/>
              </w:rPr>
              <w:t>n</w:t>
            </w:r>
            <w:r w:rsidR="00421DB5">
              <w:rPr>
                <w:spacing w:val="-2"/>
              </w:rPr>
              <w:t xml:space="preserve"> </w:t>
            </w:r>
            <w:r w:rsidRPr="00165F04">
              <w:rPr>
                <w:spacing w:val="-2"/>
              </w:rPr>
              <w:t xml:space="preserve">RSV-Saison entweder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(105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 xml:space="preserve">mg </w:t>
            </w:r>
            <w:proofErr w:type="spellStart"/>
            <w:r w:rsidRPr="00165F04">
              <w:rPr>
                <w:spacing w:val="-2"/>
              </w:rPr>
              <w:t>i.m</w:t>
            </w:r>
            <w:proofErr w:type="spellEnd"/>
            <w:r w:rsidRPr="00165F04">
              <w:rPr>
                <w:spacing w:val="-2"/>
              </w:rPr>
              <w:t>. an Tag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>1, Placebo an Tag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 xml:space="preserve">28) oder monatlich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(3</w:t>
            </w:r>
            <w:r w:rsidR="00B71470">
              <w:rPr>
                <w:spacing w:val="-2"/>
              </w:rPr>
              <w:t>-</w:t>
            </w:r>
            <w:r w:rsidRPr="00165F04">
              <w:rPr>
                <w:spacing w:val="-2"/>
              </w:rPr>
              <w:t xml:space="preserve">5 Dosen). In der </w:t>
            </w:r>
            <w:r w:rsidR="00421DB5">
              <w:rPr>
                <w:spacing w:val="-2"/>
              </w:rPr>
              <w:t xml:space="preserve">zweiten </w:t>
            </w:r>
            <w:r w:rsidRPr="00165F04">
              <w:rPr>
                <w:spacing w:val="-2"/>
              </w:rPr>
              <w:t xml:space="preserve">RSV-Saison erhielten ausgewählte Studienteilnehmer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in einer Dosierung von 210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 [</w:t>
            </w:r>
            <w:r w:rsidR="01D41A02" w:rsidRPr="00165F04">
              <w:rPr>
                <w:spacing w:val="-2"/>
              </w:rPr>
              <w:t>9</w:t>
            </w:r>
            <w:r w:rsidRPr="00165F04">
              <w:rPr>
                <w:spacing w:val="-2"/>
              </w:rPr>
              <w:t>]</w:t>
            </w:r>
            <w:r w:rsidR="00683756">
              <w:rPr>
                <w:spacing w:val="-2"/>
              </w:rPr>
              <w:t>.</w:t>
            </w:r>
          </w:p>
          <w:p w14:paraId="094CC594" w14:textId="4C6F84B3" w:rsidR="52EF1815" w:rsidRPr="00165F04" w:rsidRDefault="29E68329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  <w:r w:rsidRPr="00165F04">
              <w:rPr>
                <w:spacing w:val="-2"/>
              </w:rPr>
              <w:t xml:space="preserve">Der primäre Endpunkt war die Sicherheit und Verträglichkeit von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im Vergleich zu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in der </w:t>
            </w:r>
            <w:r w:rsidR="00421DB5">
              <w:rPr>
                <w:spacing w:val="-2"/>
              </w:rPr>
              <w:t>ersten RSV-</w:t>
            </w:r>
            <w:r w:rsidRPr="00165F04">
              <w:rPr>
                <w:spacing w:val="-2"/>
              </w:rPr>
              <w:t>Saison. Zu den sekundären Endpunkten gehörten die Inzidenz von RSV-assoziierten medizinisch behandelten Infektionen der unteren Atemwege (MALRI), die mindestens einen Indikator für LRI oder Schweregrad erfordern, sowie von RSV-assoziierten Hospitalisierungen bis Tag</w:t>
            </w:r>
            <w:r w:rsidR="009918C3">
              <w:rPr>
                <w:spacing w:val="-2"/>
              </w:rPr>
              <w:t> </w:t>
            </w:r>
            <w:r w:rsidRPr="00165F04">
              <w:rPr>
                <w:spacing w:val="-2"/>
              </w:rPr>
              <w:t>150.</w:t>
            </w:r>
            <w:r w:rsidR="0086663C">
              <w:rPr>
                <w:spacing w:val="-2"/>
              </w:rPr>
              <w:t xml:space="preserve"> </w:t>
            </w:r>
            <w:r w:rsidR="52EF1815" w:rsidRPr="00165F04">
              <w:rPr>
                <w:spacing w:val="-2"/>
              </w:rPr>
              <w:t xml:space="preserve">Die Interims-Analyse ergab für </w:t>
            </w:r>
            <w:proofErr w:type="spellStart"/>
            <w:r w:rsidR="52EF1815" w:rsidRPr="00165F04">
              <w:rPr>
                <w:spacing w:val="-2"/>
              </w:rPr>
              <w:t>Clesrovimab</w:t>
            </w:r>
            <w:proofErr w:type="spellEnd"/>
            <w:r w:rsidR="52EF1815" w:rsidRPr="00165F04">
              <w:rPr>
                <w:spacing w:val="-2"/>
              </w:rPr>
              <w:t xml:space="preserve"> ein vergleichbares Sicherheitsprofil mit </w:t>
            </w:r>
            <w:proofErr w:type="spellStart"/>
            <w:r w:rsidR="52EF1815" w:rsidRPr="00165F04">
              <w:rPr>
                <w:spacing w:val="-2"/>
              </w:rPr>
              <w:t>Palivizumab</w:t>
            </w:r>
            <w:proofErr w:type="spellEnd"/>
            <w:r w:rsidR="52EF1815" w:rsidRPr="00165F04">
              <w:rPr>
                <w:spacing w:val="-2"/>
              </w:rPr>
              <w:t xml:space="preserve"> </w:t>
            </w:r>
            <w:r w:rsidR="58FEFA67" w:rsidRPr="00165F04">
              <w:rPr>
                <w:spacing w:val="-2"/>
              </w:rPr>
              <w:t xml:space="preserve">und </w:t>
            </w:r>
            <w:r w:rsidR="52EF1815" w:rsidRPr="00165F04">
              <w:rPr>
                <w:spacing w:val="-2"/>
              </w:rPr>
              <w:t>keine Verum-assoziierten schwerwiegenden Nebenwirkungen. Die Inzidenzraten von RSV-assoziierten MALRI (primärer Endpunkt) und RSV-assoziierten Hospitalisierungen (sekundäre Endpunkte) waren bis Tag</w:t>
            </w:r>
            <w:r w:rsidR="009918C3">
              <w:rPr>
                <w:spacing w:val="-2"/>
              </w:rPr>
              <w:t> </w:t>
            </w:r>
            <w:r w:rsidR="52EF1815" w:rsidRPr="00165F04">
              <w:rPr>
                <w:spacing w:val="-2"/>
              </w:rPr>
              <w:t>150 (5</w:t>
            </w:r>
            <w:r w:rsidR="009918C3">
              <w:rPr>
                <w:spacing w:val="-2"/>
              </w:rPr>
              <w:t> </w:t>
            </w:r>
            <w:r w:rsidR="52EF1815" w:rsidRPr="00165F04">
              <w:rPr>
                <w:spacing w:val="-2"/>
              </w:rPr>
              <w:t xml:space="preserve">Monate) zwischen </w:t>
            </w:r>
            <w:proofErr w:type="spellStart"/>
            <w:r w:rsidR="52EF1815" w:rsidRPr="00165F04">
              <w:rPr>
                <w:spacing w:val="-2"/>
              </w:rPr>
              <w:t>Clesrovimab</w:t>
            </w:r>
            <w:proofErr w:type="spellEnd"/>
            <w:r w:rsidR="52EF1815" w:rsidRPr="00165F04">
              <w:rPr>
                <w:spacing w:val="-2"/>
              </w:rPr>
              <w:t xml:space="preserve"> (3,6 % bzw. 1,3 %) und </w:t>
            </w:r>
            <w:proofErr w:type="spellStart"/>
            <w:r w:rsidR="52EF1815" w:rsidRPr="00165F04">
              <w:rPr>
                <w:spacing w:val="-2"/>
              </w:rPr>
              <w:t>Palivizumab</w:t>
            </w:r>
            <w:proofErr w:type="spellEnd"/>
            <w:r w:rsidR="52EF1815" w:rsidRPr="00165F04">
              <w:rPr>
                <w:spacing w:val="-2"/>
              </w:rPr>
              <w:t xml:space="preserve"> (3,0 % bzw. 1,5 %) ebenfalls vergleichbar [1</w:t>
            </w:r>
            <w:r w:rsidR="0E447383" w:rsidRPr="00165F04">
              <w:rPr>
                <w:spacing w:val="-2"/>
              </w:rPr>
              <w:t>0</w:t>
            </w:r>
            <w:r w:rsidR="52EF1815" w:rsidRPr="00165F04">
              <w:rPr>
                <w:spacing w:val="-2"/>
              </w:rPr>
              <w:t>]</w:t>
            </w:r>
            <w:r w:rsidR="00683756">
              <w:rPr>
                <w:spacing w:val="-2"/>
              </w:rPr>
              <w:t>.</w:t>
            </w:r>
          </w:p>
          <w:p w14:paraId="528C40CD" w14:textId="3B1F9781" w:rsidR="5D5C9F06" w:rsidRPr="00165F04" w:rsidRDefault="5D5C9F06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</w:p>
          <w:p w14:paraId="573A3CFF" w14:textId="77777777" w:rsidR="003C0139" w:rsidRPr="008F7BD9" w:rsidRDefault="003B5A83" w:rsidP="5E8D9CDE">
            <w:pPr>
              <w:pStyle w:val="TableParagraph"/>
              <w:spacing w:line="240" w:lineRule="auto"/>
              <w:ind w:left="72"/>
              <w:rPr>
                <w:b/>
                <w:bCs/>
                <w:u w:val="single"/>
              </w:rPr>
            </w:pPr>
            <w:r w:rsidRPr="008F7BD9">
              <w:rPr>
                <w:b/>
                <w:bCs/>
                <w:spacing w:val="-2"/>
                <w:u w:val="single"/>
              </w:rPr>
              <w:t>Dosierung</w:t>
            </w:r>
          </w:p>
          <w:p w14:paraId="26F3CE16" w14:textId="5B3F7B35" w:rsidR="3EC70F29" w:rsidRPr="00165F04" w:rsidRDefault="3EC70F29" w:rsidP="00165F04">
            <w:pPr>
              <w:pStyle w:val="TableParagraph"/>
              <w:spacing w:line="252" w:lineRule="exact"/>
              <w:ind w:left="74"/>
              <w:rPr>
                <w:spacing w:val="-2"/>
              </w:rPr>
            </w:pPr>
            <w:r w:rsidRPr="00165F04">
              <w:rPr>
                <w:spacing w:val="-2"/>
              </w:rPr>
              <w:t>Neugeborene und Säuglinge: erste RSV-Saison</w:t>
            </w:r>
          </w:p>
          <w:p w14:paraId="27090B52" w14:textId="5D6B19C0" w:rsidR="3EC70F29" w:rsidRPr="00165F04" w:rsidRDefault="3EC70F29" w:rsidP="00165F04">
            <w:pPr>
              <w:pStyle w:val="TableParagraph"/>
              <w:spacing w:line="252" w:lineRule="exact"/>
              <w:ind w:left="74"/>
              <w:rPr>
                <w:spacing w:val="-2"/>
              </w:rPr>
            </w:pPr>
            <w:r w:rsidRPr="00165F04">
              <w:rPr>
                <w:spacing w:val="-2"/>
              </w:rPr>
              <w:t>Die empfohlene Dosis beträgt 105</w:t>
            </w:r>
            <w:r w:rsidR="009918C3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mg, die als Einmalinjektion zu 0,7</w:t>
            </w:r>
            <w:r w:rsidR="009918C3">
              <w:rPr>
                <w:spacing w:val="-2"/>
              </w:rPr>
              <w:t> </w:t>
            </w:r>
            <w:r w:rsidRPr="00165F04">
              <w:rPr>
                <w:spacing w:val="-2"/>
              </w:rPr>
              <w:t>ml intramuskulär (</w:t>
            </w:r>
            <w:proofErr w:type="spellStart"/>
            <w:r w:rsidRPr="00165F04">
              <w:rPr>
                <w:spacing w:val="-2"/>
              </w:rPr>
              <w:t>i.m</w:t>
            </w:r>
            <w:proofErr w:type="spellEnd"/>
            <w:r w:rsidRPr="00165F04">
              <w:rPr>
                <w:spacing w:val="-2"/>
              </w:rPr>
              <w:t>.) angewendet wird.</w:t>
            </w:r>
          </w:p>
          <w:p w14:paraId="0DB5A923" w14:textId="2ED434E1" w:rsidR="003C0139" w:rsidRPr="00165F04" w:rsidRDefault="003C0139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</w:p>
          <w:p w14:paraId="633A793C" w14:textId="43DD0B93" w:rsidR="00165F04" w:rsidRPr="005B7B2A" w:rsidRDefault="00165F04" w:rsidP="5D5C9F06">
            <w:pPr>
              <w:pStyle w:val="TableParagraph"/>
              <w:spacing w:line="252" w:lineRule="exact"/>
              <w:ind w:right="185"/>
              <w:rPr>
                <w:color w:val="000000" w:themeColor="text1"/>
              </w:rPr>
            </w:pPr>
            <w:r w:rsidRPr="005B7B2A">
              <w:rPr>
                <w:color w:val="000000" w:themeColor="text1"/>
              </w:rPr>
              <w:t>Quellen</w:t>
            </w:r>
            <w:r w:rsidR="00603905">
              <w:rPr>
                <w:color w:val="000000" w:themeColor="text1"/>
              </w:rPr>
              <w:t>:</w:t>
            </w:r>
          </w:p>
          <w:p w14:paraId="1AC24F03" w14:textId="5AF986BB" w:rsidR="003C0139" w:rsidRPr="005B7B2A" w:rsidRDefault="276AF2E4" w:rsidP="005B7B2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437" w:hanging="425"/>
              <w:jc w:val="both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Tang A, et al. A potent broadly neutralizing human RSV antibody targets conserved site IV of the fusion </w:t>
            </w:r>
            <w:r w:rsidRPr="005B7B2A">
              <w:rPr>
                <w:rFonts w:eastAsia="Arial" w:cs="Arial"/>
                <w:lang w:val="en-US"/>
              </w:rPr>
              <w:lastRenderedPageBreak/>
              <w:t>glycoprotein. Nat Commun. 2019; 10(1):4153.</w:t>
            </w:r>
          </w:p>
          <w:p w14:paraId="0899C2FC" w14:textId="77B1ED35" w:rsidR="003C0139" w:rsidRPr="005A5CF6" w:rsidRDefault="276AF2E4" w:rsidP="005B7B2A">
            <w:pPr>
              <w:spacing w:after="120" w:line="276" w:lineRule="auto"/>
              <w:ind w:left="437"/>
              <w:jc w:val="both"/>
              <w:rPr>
                <w:lang w:val="en-US"/>
              </w:rPr>
            </w:pPr>
            <w:hyperlink r:id="rId11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https://pubmed.ncbi.nlm.nih.gov/31515478</w:t>
              </w:r>
            </w:hyperlink>
          </w:p>
          <w:p w14:paraId="6892B3F4" w14:textId="01D5453F" w:rsidR="003C0139" w:rsidRPr="005B7B2A" w:rsidRDefault="276AF2E4" w:rsidP="005B7B2A">
            <w:pPr>
              <w:pStyle w:val="Listenabsatz"/>
              <w:numPr>
                <w:ilvl w:val="0"/>
                <w:numId w:val="3"/>
              </w:numPr>
              <w:spacing w:after="120" w:line="276" w:lineRule="auto"/>
              <w:ind w:left="436" w:hanging="425"/>
              <w:jc w:val="both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RSV </w:t>
            </w:r>
            <w:proofErr w:type="spellStart"/>
            <w:r w:rsidRPr="005B7B2A">
              <w:rPr>
                <w:rFonts w:eastAsia="Arial" w:cs="Arial"/>
                <w:lang w:val="en-US"/>
              </w:rPr>
              <w:t>GeneBank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sequences as of April 2024</w:t>
            </w:r>
          </w:p>
          <w:p w14:paraId="56ABCEAF" w14:textId="50F50086" w:rsidR="003C0139" w:rsidRPr="005B7B2A" w:rsidRDefault="276AF2E4" w:rsidP="005B7B2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437" w:hanging="425"/>
              <w:jc w:val="both"/>
              <w:rPr>
                <w:rFonts w:eastAsia="Arial" w:cs="Arial"/>
                <w:lang w:val="en-US"/>
              </w:rPr>
            </w:pPr>
            <w:proofErr w:type="spellStart"/>
            <w:r w:rsidRPr="005B7B2A">
              <w:rPr>
                <w:rFonts w:eastAsia="Arial" w:cs="Arial"/>
                <w:lang w:val="en-US"/>
              </w:rPr>
              <w:t>Dall'Acqua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WF, et al. Increasing the affinity of a human IgG1 for the neonatal Fc receptor: biological consequences. </w:t>
            </w:r>
            <w:proofErr w:type="spellStart"/>
            <w:proofErr w:type="gramStart"/>
            <w:r w:rsidRPr="005B7B2A">
              <w:rPr>
                <w:rFonts w:eastAsia="Arial" w:cs="Arial"/>
                <w:lang w:val="en-US"/>
              </w:rPr>
              <w:t>J.Immunol</w:t>
            </w:r>
            <w:proofErr w:type="spellEnd"/>
            <w:proofErr w:type="gramEnd"/>
            <w:r w:rsidRPr="005B7B2A">
              <w:rPr>
                <w:rFonts w:eastAsia="Arial" w:cs="Arial"/>
                <w:lang w:val="en-US"/>
              </w:rPr>
              <w:t>. 2002; 169(9):5171-5180.</w:t>
            </w:r>
          </w:p>
          <w:p w14:paraId="09A71CE1" w14:textId="0FBF5EFF" w:rsidR="003C0139" w:rsidRPr="005A5CF6" w:rsidRDefault="276AF2E4" w:rsidP="005B7B2A">
            <w:pPr>
              <w:spacing w:after="120" w:line="276" w:lineRule="auto"/>
              <w:ind w:left="437"/>
              <w:jc w:val="both"/>
              <w:rPr>
                <w:lang w:val="en-US"/>
              </w:rPr>
            </w:pPr>
            <w:hyperlink r:id="rId12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https://pubmed.ncbi.nlm.nih.gov/12391234/</w:t>
              </w:r>
            </w:hyperlink>
            <w:r w:rsidRPr="005B7B2A">
              <w:rPr>
                <w:rFonts w:eastAsia="Arial" w:cs="Arial"/>
                <w:lang w:val="en-US"/>
              </w:rPr>
              <w:t xml:space="preserve"> </w:t>
            </w:r>
          </w:p>
          <w:p w14:paraId="09309794" w14:textId="30A361DA" w:rsidR="003C0139" w:rsidRPr="00AF7B2A" w:rsidRDefault="268190E4" w:rsidP="00AF7B2A">
            <w:pPr>
              <w:pStyle w:val="Listenabsatz"/>
              <w:numPr>
                <w:ilvl w:val="0"/>
                <w:numId w:val="3"/>
              </w:numPr>
              <w:spacing w:after="120" w:line="252" w:lineRule="exact"/>
              <w:ind w:left="436" w:right="187" w:hanging="425"/>
              <w:rPr>
                <w:rFonts w:eastAsia="Arial" w:cs="Arial"/>
                <w:color w:val="0563C1"/>
                <w:u w:val="single"/>
                <w:lang w:val="en-US"/>
              </w:rPr>
            </w:pPr>
            <w:r w:rsidRPr="00AF7B2A">
              <w:rPr>
                <w:rFonts w:eastAsia="Arial" w:cs="Arial"/>
                <w:lang w:val="en-US"/>
              </w:rPr>
              <w:t xml:space="preserve">Phuah JY, et al. Quantification of </w:t>
            </w:r>
            <w:proofErr w:type="spellStart"/>
            <w:r w:rsidRPr="00AF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AF7B2A">
              <w:rPr>
                <w:rFonts w:eastAsia="Arial" w:cs="Arial"/>
                <w:lang w:val="en-US"/>
              </w:rPr>
              <w:t xml:space="preserve">, an investigational, half-life extended, anti-respiratory syncytial virus protein F human monoclonal antibody in the nasal epithelial lining fluid of healthy adults Biomed </w:t>
            </w:r>
            <w:proofErr w:type="spellStart"/>
            <w:r w:rsidRPr="00AF7B2A">
              <w:rPr>
                <w:rFonts w:eastAsia="Arial" w:cs="Arial"/>
                <w:lang w:val="en-US"/>
              </w:rPr>
              <w:t>Pharmacother</w:t>
            </w:r>
            <w:proofErr w:type="spellEnd"/>
            <w:r w:rsidRPr="00AF7B2A">
              <w:rPr>
                <w:rFonts w:eastAsia="Arial" w:cs="Arial"/>
                <w:lang w:val="en-US"/>
              </w:rPr>
              <w:t xml:space="preserve">. 2023; 169:115851; </w:t>
            </w:r>
            <w:hyperlink r:id="rId13">
              <w:r w:rsidRPr="00AF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https://pubmed.ncbi.nlm.nih.gov/37976891</w:t>
              </w:r>
            </w:hyperlink>
          </w:p>
          <w:p w14:paraId="0F9D05EE" w14:textId="209FAEE3" w:rsidR="003C0139" w:rsidRPr="00793FF0" w:rsidRDefault="272906AD" w:rsidP="005B7B2A">
            <w:pPr>
              <w:pStyle w:val="Listenabsatz"/>
              <w:numPr>
                <w:ilvl w:val="0"/>
                <w:numId w:val="3"/>
              </w:numPr>
              <w:spacing w:line="252" w:lineRule="exact"/>
              <w:ind w:left="437" w:right="185" w:hanging="425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s"/>
              </w:rPr>
              <w:t xml:space="preserve">Zar HJ, Simoes EAF, Madhi SA et al. </w:t>
            </w:r>
            <w:r w:rsidRPr="005B7B2A">
              <w:rPr>
                <w:rFonts w:eastAsia="Arial" w:cs="Arial"/>
                <w:lang w:val="en-US"/>
              </w:rPr>
              <w:t xml:space="preserve">A Phase 2b/3 Study to Evaluate the Efficacy and Safety of an Investigational Respiratory Syncytial Virus (RSV) Antibody,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, in Healthy Preterm and Full-Term Infants. Oral Presentation October 17. </w:t>
            </w:r>
            <w:r w:rsidRPr="005B7B2A">
              <w:rPr>
                <w:rFonts w:eastAsia="Arial" w:cs="Arial"/>
                <w:i/>
                <w:iCs/>
                <w:lang w:val="en-US"/>
              </w:rPr>
              <w:t>Infectious Diseases Society of America (IDSA) 2024</w:t>
            </w:r>
            <w:r w:rsidRPr="00793FF0">
              <w:rPr>
                <w:rFonts w:eastAsia="Arial" w:cs="Arial"/>
                <w:lang w:val="en-US"/>
              </w:rPr>
              <w:t>.</w:t>
            </w:r>
          </w:p>
          <w:p w14:paraId="0D582467" w14:textId="72903F21" w:rsidR="003C0139" w:rsidRPr="005B7B2A" w:rsidRDefault="003C0139" w:rsidP="5E8D9CDE">
            <w:pPr>
              <w:pStyle w:val="Listenabsatz"/>
              <w:spacing w:line="252" w:lineRule="exact"/>
              <w:ind w:left="720" w:right="185"/>
              <w:rPr>
                <w:rFonts w:eastAsia="Arial" w:cs="Arial"/>
                <w:i/>
                <w:iCs/>
                <w:lang w:val="en-US"/>
              </w:rPr>
            </w:pPr>
          </w:p>
          <w:p w14:paraId="22D78BDE" w14:textId="5D596622" w:rsidR="003C0139" w:rsidRPr="005B7B2A" w:rsidRDefault="2E09F80C" w:rsidP="5E8D9CDE">
            <w:pPr>
              <w:pStyle w:val="Listenabsatz"/>
              <w:numPr>
                <w:ilvl w:val="0"/>
                <w:numId w:val="3"/>
              </w:numPr>
              <w:spacing w:line="276" w:lineRule="auto"/>
              <w:ind w:left="426" w:hanging="426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Sinha A. Safety and Efficacy of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. CDC, ACIP Presentation Slides Oct 23-24, 2024 Meeting </w:t>
            </w:r>
            <w:hyperlink r:id="rId14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https://www.cdc.gov/acip/downloads/slides-2024-10-23-24/02-RSV-Mat-Peds-Sinha-508.pdf</w:t>
              </w:r>
            </w:hyperlink>
            <w:r w:rsidRPr="005B7B2A">
              <w:rPr>
                <w:rFonts w:eastAsia="Arial" w:cs="Arial"/>
                <w:lang w:val="en-US"/>
              </w:rPr>
              <w:t>.</w:t>
            </w:r>
          </w:p>
          <w:p w14:paraId="5F0E2C81" w14:textId="28FFEECF" w:rsidR="003C0139" w:rsidRPr="005B7B2A" w:rsidRDefault="2E09F80C" w:rsidP="5E8D9CDE">
            <w:pPr>
              <w:pStyle w:val="Listenabsatz"/>
              <w:numPr>
                <w:ilvl w:val="0"/>
                <w:numId w:val="3"/>
              </w:numPr>
              <w:spacing w:line="276" w:lineRule="auto"/>
              <w:ind w:left="425" w:hanging="425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Clinicaltrials.gov. Efficacy and Safety of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(MK-1654) in Infants (MK-1654-004) (CLEVER)</w:t>
            </w:r>
          </w:p>
          <w:p w14:paraId="68591CCD" w14:textId="627BF5BB" w:rsidR="003C0139" w:rsidRPr="005A5CF6" w:rsidRDefault="2E09F80C" w:rsidP="5E8D9CDE">
            <w:pPr>
              <w:spacing w:after="120" w:line="276" w:lineRule="auto"/>
              <w:ind w:left="426"/>
              <w:rPr>
                <w:lang w:val="en-US"/>
              </w:rPr>
            </w:pPr>
            <w:hyperlink r:id="rId15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https://clinicaltrials.gov/study/NCT04767373?term=clesrovimab&amp;rank=2&amp;tab=results</w:t>
              </w:r>
            </w:hyperlink>
          </w:p>
          <w:p w14:paraId="3268399A" w14:textId="44433E92" w:rsidR="003C0139" w:rsidRPr="005B7B2A" w:rsidRDefault="2E09F80C" w:rsidP="005B7B2A">
            <w:pPr>
              <w:pStyle w:val="Listenabsatz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rFonts w:eastAsia="Arial" w:cs="Arial"/>
                <w:color w:val="0563C1"/>
                <w:u w:val="single"/>
                <w:lang w:val="en-US"/>
              </w:rPr>
            </w:pPr>
            <w:proofErr w:type="spellStart"/>
            <w:r w:rsidRPr="005B7B2A">
              <w:rPr>
                <w:rFonts w:eastAsia="Arial" w:cs="Arial"/>
                <w:lang w:val="en-US"/>
              </w:rPr>
              <w:t>Pressemitteilung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MSD </w:t>
            </w:r>
            <w:proofErr w:type="spellStart"/>
            <w:r w:rsidRPr="005B7B2A">
              <w:rPr>
                <w:rFonts w:eastAsia="Arial" w:cs="Arial"/>
                <w:lang w:val="en-US"/>
              </w:rPr>
              <w:t>vom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17.10.2024: Merck’s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(MK-1654), an Investigational Respiratory Syncytial Virus (RSV) Preventative Monoclonal Antibody, Significantly Reduced Incidence of RSV Disease and Hospitalization in Healthy Preterm and Full-term Infants, </w:t>
            </w:r>
            <w:proofErr w:type="spellStart"/>
            <w:r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hyperlink r:id="rId16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https://www.merck.com/news/mercks-clesrovimab-mk-1654-an-investigational-respiratory-syncytial-virus-rsv-preventative-monoclonal-antibody-significantly-reduced-incidence-of-rsv-disease-and-hospitalization-in-heal/</w:t>
              </w:r>
            </w:hyperlink>
          </w:p>
          <w:p w14:paraId="4BDB7826" w14:textId="43295BC9" w:rsidR="003C0139" w:rsidRPr="005A5CF6" w:rsidRDefault="4EC58C81" w:rsidP="005B7B2A">
            <w:pPr>
              <w:pStyle w:val="Listenabsatz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rFonts w:eastAsia="Arial" w:cs="Arial"/>
                <w:color w:val="0563C1"/>
                <w:u w:val="single"/>
              </w:rPr>
            </w:pPr>
            <w:r w:rsidRPr="005B7B2A">
              <w:rPr>
                <w:rFonts w:eastAsia="Arial" w:cs="Arial"/>
                <w:lang w:val="en-US"/>
              </w:rPr>
              <w:t xml:space="preserve">Clinicaltrials.gov.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(MK-1654) in Infants and Children at Increased Risk for Severe Respiratory Syncytial Virus (RSV) Disease (MK-1654-007). </w:t>
            </w:r>
            <w:hyperlink r:id="rId17">
              <w:r w:rsidRPr="005A5CF6">
                <w:rPr>
                  <w:rStyle w:val="Hyperlink"/>
                  <w:rFonts w:eastAsia="Arial" w:cs="Arial"/>
                  <w:color w:val="0563C1"/>
                </w:rPr>
                <w:t>https://classic.clinicaltrials.gov/ct2/show/NCT04938830?term=mk-1654-007&amp;draw=2&amp;rank=1</w:t>
              </w:r>
            </w:hyperlink>
          </w:p>
          <w:p w14:paraId="30B8004E" w14:textId="1991B776" w:rsidR="003C0139" w:rsidRPr="005B7B2A" w:rsidRDefault="251A90B8" w:rsidP="005B7B2A">
            <w:pPr>
              <w:pStyle w:val="Listenabsatz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lang w:val="en-US"/>
              </w:rPr>
            </w:pPr>
            <w:r w:rsidRPr="005B7B2A">
              <w:rPr>
                <w:rFonts w:eastAsia="Arial" w:cs="Arial"/>
                <w:lang w:val="es"/>
              </w:rPr>
              <w:t xml:space="preserve">Zar HJ, Bont LJ, Manzoni P et al. </w:t>
            </w:r>
            <w:r w:rsidRPr="005B7B2A">
              <w:rPr>
                <w:rFonts w:eastAsia="Arial" w:cs="Arial"/>
                <w:lang w:val="en-US"/>
              </w:rPr>
              <w:t xml:space="preserve">Phase 3, Randomized, Controlled Trial Evaluating Safety, Efficacy, and Pharmacokinetics of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in Infants and Children at Increased Risk for Severe Respiratory Syncytial Virus Disease. Oral Presentation October 17. </w:t>
            </w:r>
            <w:r w:rsidRPr="005B7B2A">
              <w:rPr>
                <w:rFonts w:eastAsia="Arial" w:cs="Arial"/>
                <w:i/>
                <w:iCs/>
                <w:lang w:val="en-US"/>
              </w:rPr>
              <w:t>Infectious Diseases Society of America (IDSA) 2024</w:t>
            </w:r>
          </w:p>
          <w:p w14:paraId="32B86799" w14:textId="7EF8D449" w:rsidR="003C0139" w:rsidRPr="005B7B2A" w:rsidRDefault="656BAFA7" w:rsidP="005B7B2A">
            <w:pPr>
              <w:pStyle w:val="Listenabsatz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rFonts w:eastAsia="Arial" w:cs="Arial"/>
                <w:color w:val="0563C1"/>
                <w:u w:val="single"/>
                <w:lang w:val="en-US"/>
              </w:rPr>
            </w:pPr>
            <w:proofErr w:type="spellStart"/>
            <w:r w:rsidRPr="005B7B2A">
              <w:rPr>
                <w:rFonts w:eastAsia="Arial" w:cs="Arial"/>
                <w:lang w:val="en-US"/>
              </w:rPr>
              <w:t>Pressemitteilung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MSD </w:t>
            </w:r>
            <w:proofErr w:type="spellStart"/>
            <w:r w:rsidRPr="005B7B2A">
              <w:rPr>
                <w:rFonts w:eastAsia="Arial" w:cs="Arial"/>
                <w:lang w:val="en-US"/>
              </w:rPr>
              <w:t>vom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17.12.2024: Merck Announces FDA Acceptance of Biologics License Application for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, an Investigational Long-Acting Monoclonal Antibody Designed to Protect Infants from RSV Disease During their First RSV Season, </w:t>
            </w:r>
            <w:proofErr w:type="spellStart"/>
            <w:r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hyperlink r:id="rId18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https://www.merck.com/news/merck-announces-fda-acceptance-of-biologics-license-application-for-clesrovimab-an-investigational-long-acting-monoclonal-antibody-designed-to-protect-infants-from-rsv-disease-during-their-first-rsv/</w:t>
              </w:r>
            </w:hyperlink>
          </w:p>
          <w:p w14:paraId="71638A27" w14:textId="6A58A452" w:rsidR="003C0139" w:rsidRPr="00090A3C" w:rsidRDefault="656BAFA7" w:rsidP="005B7B2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437" w:hanging="425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European Medicines Agency (EMA): Applications for new human medicines under evaluation by the CHMP, </w:t>
            </w:r>
            <w:proofErr w:type="spellStart"/>
            <w:r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: </w:t>
            </w:r>
            <w:hyperlink r:id="rId19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https://view.officeapps.live.com/op/view.aspx?src=https%3A%2F%2Fwww.ema.europa.eu%2Fen%2Fdocuments%2Freport%2Fapplications-new-human-medicines-under-evaluation-january-2025_en.xlsx&amp;wdOrigin=BROWSELINK</w:t>
              </w:r>
            </w:hyperlink>
            <w:r w:rsidRPr="005B7B2A">
              <w:rPr>
                <w:rFonts w:eastAsia="Arial" w:cs="Arial"/>
                <w:lang w:val="en-US"/>
              </w:rPr>
              <w:t xml:space="preserve">, </w:t>
            </w:r>
            <w:proofErr w:type="spellStart"/>
            <w:r w:rsidRPr="005B7B2A">
              <w:rPr>
                <w:rFonts w:eastAsia="Arial" w:cs="Arial"/>
                <w:lang w:val="en-US"/>
              </w:rPr>
              <w:t>zuletzt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eingesehen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10.02.2025</w:t>
            </w:r>
          </w:p>
          <w:p w14:paraId="573A3D00" w14:textId="30E4FAF1" w:rsidR="003C0139" w:rsidRPr="00090A3C" w:rsidRDefault="003C0139" w:rsidP="5E8D9CDE">
            <w:pPr>
              <w:spacing w:line="252" w:lineRule="exact"/>
              <w:ind w:right="185"/>
              <w:rPr>
                <w:rFonts w:ascii="Arial" w:eastAsia="Arial" w:hAnsi="Arial" w:cs="Arial"/>
                <w:u w:val="single"/>
                <w:lang w:val="en-US"/>
              </w:rPr>
            </w:pPr>
          </w:p>
        </w:tc>
      </w:tr>
    </w:tbl>
    <w:p w14:paraId="573A3D02" w14:textId="77777777" w:rsidR="003C0139" w:rsidRDefault="003C0139" w:rsidP="1419BBB0">
      <w:pPr>
        <w:pStyle w:val="Textkrper"/>
        <w:spacing w:before="1" w:after="1"/>
        <w:rPr>
          <w:rFonts w:ascii="Times New Roman"/>
          <w:sz w:val="22"/>
          <w:szCs w:val="22"/>
          <w:lang w:val="en-US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04" w14:textId="77777777" w:rsidTr="006446AE">
        <w:trPr>
          <w:trHeight w:val="251"/>
          <w:tblHeader/>
        </w:trPr>
        <w:tc>
          <w:tcPr>
            <w:tcW w:w="9214" w:type="dxa"/>
          </w:tcPr>
          <w:p w14:paraId="573A3D03" w14:textId="77777777" w:rsidR="003C0139" w:rsidRDefault="003B5A83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Mit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welchem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Methode</w:t>
            </w:r>
            <w:r>
              <w:rPr>
                <w:b/>
                <w:spacing w:val="-2"/>
              </w:rPr>
              <w:t xml:space="preserve"> verschlüsselt?</w:t>
            </w:r>
          </w:p>
        </w:tc>
      </w:tr>
      <w:tr w:rsidR="003C0139" w14:paraId="573A3D07" w14:textId="77777777" w:rsidTr="006446AE">
        <w:trPr>
          <w:trHeight w:val="505"/>
          <w:tblHeader/>
        </w:trPr>
        <w:tc>
          <w:tcPr>
            <w:tcW w:w="9214" w:type="dxa"/>
          </w:tcPr>
          <w:p w14:paraId="573A3D06" w14:textId="54511290" w:rsidR="009E10F0" w:rsidRPr="009E10F0" w:rsidRDefault="007F1561" w:rsidP="00957490">
            <w:pPr>
              <w:pStyle w:val="TableParagraph"/>
              <w:spacing w:line="234" w:lineRule="exact"/>
            </w:pPr>
            <w:r w:rsidRPr="002264DC">
              <w:rPr>
                <w:rFonts w:eastAsia="Calibri"/>
              </w:rPr>
              <w:t xml:space="preserve">Derzeit sind keine </w:t>
            </w:r>
            <w:proofErr w:type="spellStart"/>
            <w:r w:rsidRPr="002264DC">
              <w:rPr>
                <w:rFonts w:eastAsia="Calibri"/>
              </w:rPr>
              <w:t>Prozedurencodes</w:t>
            </w:r>
            <w:proofErr w:type="spellEnd"/>
            <w:r w:rsidRPr="002264DC">
              <w:rPr>
                <w:rFonts w:eastAsia="Calibri"/>
              </w:rPr>
              <w:t xml:space="preserve"> (OPS) verfügbar.</w:t>
            </w:r>
          </w:p>
        </w:tc>
      </w:tr>
    </w:tbl>
    <w:p w14:paraId="593DFD0F" w14:textId="77777777" w:rsidR="005D0BD9" w:rsidRPr="00957490" w:rsidRDefault="005D0BD9" w:rsidP="005D0BD9">
      <w:pPr>
        <w:pStyle w:val="Textkrper"/>
        <w:spacing w:before="1" w:after="1"/>
        <w:rPr>
          <w:rFonts w:ascii="Times New Roman"/>
          <w:sz w:val="22"/>
          <w:szCs w:val="22"/>
        </w:rPr>
      </w:pPr>
    </w:p>
    <w:tbl>
      <w:tblPr>
        <w:tblStyle w:val="TableNormal1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5D0BD9" w14:paraId="46120A45" w14:textId="77777777" w:rsidTr="1AAFC77D">
        <w:trPr>
          <w:trHeight w:val="254"/>
          <w:jc w:val="center"/>
        </w:trPr>
        <w:tc>
          <w:tcPr>
            <w:tcW w:w="9214" w:type="dxa"/>
          </w:tcPr>
          <w:p w14:paraId="3A220477" w14:textId="77777777" w:rsidR="005D0BD9" w:rsidRDefault="005D0BD9" w:rsidP="004D28D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Anmerkungen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Prozeduren</w:t>
            </w:r>
          </w:p>
        </w:tc>
      </w:tr>
      <w:tr w:rsidR="005D0BD9" w:rsidRPr="009E10F0" w14:paraId="2D597633" w14:textId="77777777" w:rsidTr="1AAFC77D">
        <w:trPr>
          <w:trHeight w:val="503"/>
          <w:jc w:val="center"/>
        </w:trPr>
        <w:tc>
          <w:tcPr>
            <w:tcW w:w="9214" w:type="dxa"/>
          </w:tcPr>
          <w:p w14:paraId="3D20C605" w14:textId="4541F6E1" w:rsidR="005D0BD9" w:rsidRPr="005D0BD9" w:rsidRDefault="005D0BD9" w:rsidP="004D28DC">
            <w:pPr>
              <w:pStyle w:val="TableParagraph"/>
              <w:spacing w:line="231" w:lineRule="exact"/>
            </w:pPr>
          </w:p>
        </w:tc>
      </w:tr>
    </w:tbl>
    <w:p w14:paraId="699BBE68" w14:textId="77777777" w:rsidR="005D0BD9" w:rsidRPr="003B5A83" w:rsidRDefault="005D0BD9">
      <w:pPr>
        <w:pStyle w:val="Textkrper"/>
        <w:spacing w:before="1"/>
        <w:rPr>
          <w:rFonts w:ascii="Times New Roman"/>
          <w:sz w:val="22"/>
          <w:lang w:val="en-US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13" w14:textId="77777777" w:rsidTr="6CCE95A1">
        <w:trPr>
          <w:trHeight w:val="257"/>
        </w:trPr>
        <w:tc>
          <w:tcPr>
            <w:tcW w:w="9214" w:type="dxa"/>
          </w:tcPr>
          <w:p w14:paraId="573A3D12" w14:textId="77777777" w:rsidR="003C0139" w:rsidRDefault="003B5A83">
            <w:pPr>
              <w:pStyle w:val="TableParagraph"/>
              <w:rPr>
                <w:b/>
              </w:rPr>
            </w:pPr>
            <w:r w:rsidRPr="002605C0">
              <w:rPr>
                <w:b/>
                <w:highlight w:val="lightGray"/>
              </w:rPr>
              <w:t>Bei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welchen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Patienten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wird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die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Methode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angewandt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spacing w:val="-2"/>
                <w:highlight w:val="lightGray"/>
              </w:rPr>
              <w:t>(Indikation)?</w:t>
            </w:r>
          </w:p>
        </w:tc>
      </w:tr>
      <w:tr w:rsidR="003C0139" w14:paraId="573A3D15" w14:textId="77777777" w:rsidTr="6CCE95A1">
        <w:trPr>
          <w:trHeight w:val="506"/>
        </w:trPr>
        <w:tc>
          <w:tcPr>
            <w:tcW w:w="9214" w:type="dxa"/>
          </w:tcPr>
          <w:p w14:paraId="787688D2" w14:textId="53732A1D" w:rsidR="001228BF" w:rsidRPr="001228BF" w:rsidRDefault="001228BF" w:rsidP="001228BF">
            <w:pPr>
              <w:pStyle w:val="TableParagraph"/>
              <w:spacing w:line="252" w:lineRule="exact"/>
              <w:ind w:right="185"/>
            </w:pPr>
            <w:r w:rsidRPr="001228BF">
              <w:t xml:space="preserve">Die Zulassung von </w:t>
            </w:r>
            <w:proofErr w:type="spellStart"/>
            <w:r>
              <w:t>Enflonsia</w:t>
            </w:r>
            <w:proofErr w:type="spellEnd"/>
            <w:r w:rsidRPr="001228BF">
              <w:rPr>
                <w:vertAlign w:val="superscript"/>
              </w:rPr>
              <w:t>®</w:t>
            </w:r>
            <w:r w:rsidRPr="001228BF">
              <w:t xml:space="preserve"> wurde bei der EMA beantragt:</w:t>
            </w:r>
          </w:p>
          <w:p w14:paraId="7629E7E6" w14:textId="52897615" w:rsidR="00323709" w:rsidRPr="005E1FDD" w:rsidRDefault="7692A230" w:rsidP="005E1FDD">
            <w:pPr>
              <w:pStyle w:val="TableParagraph"/>
              <w:spacing w:line="252" w:lineRule="exact"/>
              <w:ind w:right="185"/>
            </w:pPr>
            <w:proofErr w:type="spellStart"/>
            <w:r>
              <w:t>Enflonsia</w:t>
            </w:r>
            <w:proofErr w:type="spellEnd"/>
            <w:r w:rsidR="001228BF" w:rsidRPr="6CCE95A1">
              <w:rPr>
                <w:vertAlign w:val="superscript"/>
              </w:rPr>
              <w:t>®</w:t>
            </w:r>
            <w:r w:rsidR="001228BF">
              <w:t xml:space="preserve"> </w:t>
            </w:r>
            <w:r>
              <w:t>ist indiziert zur Prävention von Respiratorischen-</w:t>
            </w:r>
            <w:proofErr w:type="spellStart"/>
            <w:r>
              <w:t>Synzytial</w:t>
            </w:r>
            <w:proofErr w:type="spellEnd"/>
            <w:r>
              <w:t>-</w:t>
            </w:r>
            <w:proofErr w:type="gramStart"/>
            <w:r>
              <w:t>Virus(</w:t>
            </w:r>
            <w:proofErr w:type="gramEnd"/>
            <w:r>
              <w:t>RSV)-Erkrankungen der unteren Atemwege bei Neugeborenen und Säuglingen während ihrer ersten RSV-Saison.</w:t>
            </w:r>
            <w:r w:rsidR="005E1FDD">
              <w:t xml:space="preserve"> Dies umfasst gesunde Neugeborene und Säuglinge sowie Neugeborene und Säuglinge mit erhöhtem Risiko für schwere RSV-Erkrankungen</w:t>
            </w:r>
            <w:r w:rsidR="0CB9BC10">
              <w:t>.</w:t>
            </w:r>
            <w:r w:rsidR="005E1FDD">
              <w:t xml:space="preserve"> </w:t>
            </w:r>
          </w:p>
          <w:p w14:paraId="167B750F" w14:textId="77777777" w:rsidR="00323709" w:rsidRDefault="00323709">
            <w:pPr>
              <w:pStyle w:val="TableParagraph"/>
              <w:spacing w:line="252" w:lineRule="exact"/>
              <w:ind w:right="185"/>
            </w:pPr>
          </w:p>
          <w:p w14:paraId="628ACB25" w14:textId="1793E082" w:rsidR="003C0139" w:rsidRDefault="7692A230">
            <w:pPr>
              <w:pStyle w:val="TableParagraph"/>
              <w:spacing w:line="252" w:lineRule="exact"/>
              <w:ind w:right="185"/>
            </w:pPr>
            <w:proofErr w:type="spellStart"/>
            <w:r>
              <w:t>Enflonsia</w:t>
            </w:r>
            <w:proofErr w:type="spellEnd"/>
            <w:r>
              <w:t xml:space="preserve"> sollte gemäß den offiziellen Empfehlungen angewendet werden.</w:t>
            </w:r>
          </w:p>
          <w:p w14:paraId="407FA58E" w14:textId="77777777" w:rsidR="00943819" w:rsidRDefault="00943819" w:rsidP="00943819">
            <w:pPr>
              <w:pStyle w:val="TableParagraph"/>
              <w:spacing w:line="252" w:lineRule="exact"/>
              <w:ind w:right="185"/>
            </w:pPr>
          </w:p>
          <w:p w14:paraId="172CCDAA" w14:textId="4C5A13D7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 xml:space="preserve">Die STIKO-Empfehlung vom </w:t>
            </w:r>
            <w:r w:rsidRPr="00323709">
              <w:t>27. Juni 2024</w:t>
            </w:r>
            <w:r>
              <w:t xml:space="preserve">, als </w:t>
            </w:r>
            <w:proofErr w:type="spellStart"/>
            <w:r>
              <w:t>Nirsevimab</w:t>
            </w:r>
            <w:proofErr w:type="spellEnd"/>
            <w:r>
              <w:t xml:space="preserve"> das einzige Medikament mit einer Zulassung für die </w:t>
            </w:r>
            <w:r w:rsidRPr="00943819">
              <w:t>Prävention von</w:t>
            </w:r>
            <w:r>
              <w:t xml:space="preserve"> Respiratorischen-</w:t>
            </w:r>
            <w:proofErr w:type="spellStart"/>
            <w:r>
              <w:t>Synzytial</w:t>
            </w:r>
            <w:proofErr w:type="spellEnd"/>
            <w:r>
              <w:t>-</w:t>
            </w:r>
            <w:proofErr w:type="gramStart"/>
            <w:r>
              <w:t>Virus(</w:t>
            </w:r>
            <w:proofErr w:type="gramEnd"/>
            <w:r>
              <w:t xml:space="preserve">RSV)-Erkrankungen war und </w:t>
            </w:r>
            <w:proofErr w:type="spellStart"/>
            <w:r>
              <w:rPr>
                <w:spacing w:val="-2"/>
              </w:rPr>
              <w:t>Clesrovimab</w:t>
            </w:r>
            <w:proofErr w:type="spellEnd"/>
            <w:r>
              <w:rPr>
                <w:spacing w:val="-2"/>
              </w:rPr>
              <w:t xml:space="preserve"> noch nicht zugelassen war, lautet wie folgt:</w:t>
            </w:r>
          </w:p>
          <w:p w14:paraId="2CDAB96B" w14:textId="77777777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 xml:space="preserve">„Die STIKO empfiehlt allen Neugeborenen und Säuglingen eine RSV-Prophylaxe mit dem monoklonalen Antikörper </w:t>
            </w:r>
            <w:proofErr w:type="spellStart"/>
            <w:r>
              <w:t>Nirsevimab</w:t>
            </w:r>
            <w:proofErr w:type="spellEnd"/>
            <w:r>
              <w:t xml:space="preserve"> (</w:t>
            </w:r>
            <w:proofErr w:type="spellStart"/>
            <w:r>
              <w:t>Beyfortus</w:t>
            </w:r>
            <w:proofErr w:type="spellEnd"/>
            <w:r>
              <w:t xml:space="preserve">) als Einmaldosis vor bzw. in ihrer 1. RSV-Saison. </w:t>
            </w:r>
          </w:p>
          <w:p w14:paraId="62BC4CE8" w14:textId="2BBECA67" w:rsidR="00DD0927" w:rsidRPr="00DD0927" w:rsidRDefault="00DD0927" w:rsidP="00DD0927">
            <w:pPr>
              <w:pStyle w:val="TableParagraph"/>
            </w:pPr>
            <w:r w:rsidRPr="00DD0927">
              <w:t xml:space="preserve">Säuglinge, die zwischen April und September geboren sind, sollen </w:t>
            </w:r>
            <w:proofErr w:type="spellStart"/>
            <w:r w:rsidRPr="00DD0927">
              <w:t>Nirsevimab</w:t>
            </w:r>
            <w:proofErr w:type="spellEnd"/>
            <w:r w:rsidRPr="00DD0927">
              <w:t xml:space="preserve"> möglichst im Herbst vor Beginn ihrer 1. RSV-Saison erhalten. Neugeborene jeglichen Gestationsalters, </w:t>
            </w:r>
            <w:proofErr w:type="gramStart"/>
            <w:r w:rsidRPr="00DD0927">
              <w:t>die</w:t>
            </w:r>
            <w:proofErr w:type="gramEnd"/>
            <w:r w:rsidRPr="00DD0927">
              <w:t xml:space="preserve"> während der RSV-Saison (meist zwischen Oktober und März) geboren werden, sollen </w:t>
            </w:r>
            <w:proofErr w:type="spellStart"/>
            <w:r w:rsidRPr="00DD0927">
              <w:t>Nirsevimab</w:t>
            </w:r>
            <w:proofErr w:type="spellEnd"/>
            <w:r w:rsidRPr="00DD0927">
              <w:t xml:space="preserve"> möglichst rasch nach der Geburt erhalten, idealerweise bei Entlassung aus der Geburtseinrichtung bzw. bei der U2-Untersuchung (3. – 10. Lebenstag)</w:t>
            </w:r>
            <w:r w:rsidR="00BC25C2">
              <w:t>.</w:t>
            </w:r>
          </w:p>
          <w:p w14:paraId="51200DBB" w14:textId="6A36E42A" w:rsidR="003021BF" w:rsidRPr="00BB31CB" w:rsidRDefault="003021BF" w:rsidP="003021BF">
            <w:pPr>
              <w:pStyle w:val="TableParagraph"/>
              <w:spacing w:line="252" w:lineRule="exact"/>
              <w:ind w:right="185"/>
            </w:pPr>
            <w:r w:rsidRPr="00BB31CB">
              <w:t xml:space="preserve">Neugeborene </w:t>
            </w:r>
            <w:proofErr w:type="gramStart"/>
            <w:r w:rsidRPr="00BB31CB">
              <w:t>mit längerem stationären Aufenthalt</w:t>
            </w:r>
            <w:proofErr w:type="gramEnd"/>
            <w:r w:rsidRPr="00BB31CB">
              <w:t xml:space="preserve"> sollten </w:t>
            </w:r>
            <w:proofErr w:type="spellStart"/>
            <w:r w:rsidRPr="00BB31CB">
              <w:t>Nirsevimab</w:t>
            </w:r>
            <w:proofErr w:type="spellEnd"/>
            <w:r w:rsidRPr="00BB31CB">
              <w:t xml:space="preserve"> rechtzeitig vor der Entlassung erhalten, wenn der Aufenthalt in die RSV-Saison fällt. Eine passive Immunisierung mit </w:t>
            </w:r>
            <w:proofErr w:type="spellStart"/>
            <w:r w:rsidRPr="00BB31CB">
              <w:t>Nirsevimab</w:t>
            </w:r>
            <w:proofErr w:type="spellEnd"/>
            <w:r w:rsidRPr="00BB31CB">
              <w:t xml:space="preserve"> kann auch bereits während des Klinikaufenthalts erwogen werden, </w:t>
            </w:r>
            <w:r>
              <w:t>um</w:t>
            </w:r>
            <w:r w:rsidRPr="00BB31CB">
              <w:t xml:space="preserve"> nosokomiale Infektionen </w:t>
            </w:r>
            <w:r>
              <w:t>zu vermeiden.</w:t>
            </w:r>
            <w:r w:rsidR="00BC25C2">
              <w:t>“</w:t>
            </w:r>
            <w:r w:rsidRPr="00BB31CB">
              <w:t xml:space="preserve"> </w:t>
            </w:r>
          </w:p>
          <w:p w14:paraId="19B41B5D" w14:textId="77777777" w:rsidR="00900F15" w:rsidRDefault="00900F15" w:rsidP="00BB31CB">
            <w:pPr>
              <w:pStyle w:val="TableParagraph"/>
              <w:spacing w:line="252" w:lineRule="exact"/>
              <w:ind w:left="0" w:right="185"/>
            </w:pPr>
          </w:p>
          <w:p w14:paraId="736941FD" w14:textId="71AA4EE7" w:rsidR="00943819" w:rsidRDefault="003F7E05" w:rsidP="00943819">
            <w:pPr>
              <w:pStyle w:val="TableParagraph"/>
              <w:spacing w:line="252" w:lineRule="exact"/>
              <w:ind w:right="185"/>
            </w:pPr>
            <w:r>
              <w:t xml:space="preserve">Quelle: </w:t>
            </w:r>
            <w:r w:rsidR="00943819">
              <w:t xml:space="preserve">Robert Koch-Institut; </w:t>
            </w:r>
            <w:r w:rsidR="00943819" w:rsidRPr="00323709">
              <w:t>Epidemiologisches Bulletin 26 | 2024 27. Juni 2024</w:t>
            </w:r>
            <w:r w:rsidR="00943819">
              <w:t xml:space="preserve">; STIKO: Prophylaxe von RSV-Erkrankungen mit </w:t>
            </w:r>
            <w:proofErr w:type="spellStart"/>
            <w:r w:rsidR="00943819">
              <w:t>Nirsevimab</w:t>
            </w:r>
            <w:proofErr w:type="spellEnd"/>
            <w:r w:rsidR="00943819">
              <w:t xml:space="preserve"> bei Neugeborenen und Säuglingen</w:t>
            </w:r>
            <w:r w:rsidR="0021137E">
              <w:t xml:space="preserve">, </w:t>
            </w:r>
            <w:proofErr w:type="spellStart"/>
            <w:r w:rsidR="0021137E"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="0021137E"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="0021137E"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="0021137E"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="0021137E"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="0021137E">
              <w:rPr>
                <w:rFonts w:eastAsia="Arial" w:cs="Arial"/>
                <w:lang w:val="en-US"/>
              </w:rPr>
              <w:t xml:space="preserve">: </w:t>
            </w:r>
            <w:hyperlink r:id="rId20" w:history="1">
              <w:r w:rsidR="0021137E" w:rsidRPr="000E7AB2">
                <w:rPr>
                  <w:rStyle w:val="Hyperlink"/>
                  <w:rFonts w:eastAsia="Arial" w:cs="Arial"/>
                  <w:lang w:val="en-US"/>
                </w:rPr>
                <w:t>https://www.rki.de/DE/Aktuelles/Publikationen/Epidemiologisches-Bulletin/2024/26_24.pdf?__blob=publicationFile&amp;v=3</w:t>
              </w:r>
            </w:hyperlink>
            <w:r w:rsidR="0021137E">
              <w:rPr>
                <w:rFonts w:eastAsia="Arial" w:cs="Arial"/>
                <w:lang w:val="en-US"/>
              </w:rPr>
              <w:t xml:space="preserve"> </w:t>
            </w:r>
            <w:r w:rsidR="00943819">
              <w:t>.</w:t>
            </w:r>
          </w:p>
          <w:p w14:paraId="5863ED09" w14:textId="77777777" w:rsidR="00042E7C" w:rsidRDefault="00042E7C" w:rsidP="00133405">
            <w:pPr>
              <w:pStyle w:val="TableParagraph"/>
              <w:spacing w:line="252" w:lineRule="exact"/>
              <w:ind w:right="185"/>
            </w:pPr>
          </w:p>
          <w:p w14:paraId="76C1BC61" w14:textId="7649F820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 xml:space="preserve">Die </w:t>
            </w:r>
            <w:r w:rsidRPr="00323709">
              <w:t>Prophylaxe von RSV-Erkrankungen</w:t>
            </w:r>
            <w:r>
              <w:t xml:space="preserve"> findet</w:t>
            </w:r>
            <w:r w:rsidR="00900F15">
              <w:t xml:space="preserve"> somit</w:t>
            </w:r>
            <w:r>
              <w:t xml:space="preserve"> sowohl im Krankenhaus als auch </w:t>
            </w:r>
            <w:r w:rsidR="00FB421A">
              <w:t xml:space="preserve">ambulant </w:t>
            </w:r>
            <w:r>
              <w:t>statt</w:t>
            </w:r>
            <w:r w:rsidR="00BC25C2">
              <w:t>. Für die Saison 2024/2025 beobachtete man folgende Verteilung</w:t>
            </w:r>
            <w:r>
              <w:t xml:space="preserve">: </w:t>
            </w:r>
          </w:p>
          <w:p w14:paraId="0164C52F" w14:textId="7EA9018A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>•</w:t>
            </w:r>
            <w:r>
              <w:tab/>
              <w:t>Ca. 40% der Säuglinge werden in der Klin</w:t>
            </w:r>
            <w:r w:rsidR="00D632A7">
              <w:t>i</w:t>
            </w:r>
            <w:r>
              <w:t xml:space="preserve">k (stationäres Setting) innerhalb der Saison (zwischen </w:t>
            </w:r>
            <w:r w:rsidR="00BB31CB">
              <w:t xml:space="preserve">                </w:t>
            </w:r>
            <w:r w:rsidR="00BB31CB">
              <w:br/>
              <w:t xml:space="preserve">             </w:t>
            </w:r>
            <w:r>
              <w:t>Oktober und März) gegen RSV geimpft</w:t>
            </w:r>
          </w:p>
          <w:p w14:paraId="11ED5DF0" w14:textId="34AD05CB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>•</w:t>
            </w:r>
            <w:r>
              <w:tab/>
              <w:t>Ca. 60% der Säuglinge werden außerhalb der Saison (April-September</w:t>
            </w:r>
            <w:r w:rsidR="00D632A7">
              <w:t>)</w:t>
            </w:r>
            <w:r>
              <w:t xml:space="preserve"> beim Kinderarzt geimpft </w:t>
            </w:r>
          </w:p>
          <w:p w14:paraId="573A3D14" w14:textId="70B50EA0" w:rsidR="00943819" w:rsidRDefault="00943819" w:rsidP="00943819">
            <w:pPr>
              <w:pStyle w:val="TableParagraph"/>
              <w:spacing w:line="252" w:lineRule="exact"/>
              <w:ind w:right="185"/>
            </w:pPr>
          </w:p>
        </w:tc>
      </w:tr>
    </w:tbl>
    <w:p w14:paraId="573A3D16" w14:textId="77777777" w:rsidR="003C0139" w:rsidRDefault="003C0139">
      <w:pPr>
        <w:pStyle w:val="Textkrper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18" w14:textId="77777777" w:rsidTr="696EB8AE">
        <w:trPr>
          <w:trHeight w:val="251"/>
        </w:trPr>
        <w:tc>
          <w:tcPr>
            <w:tcW w:w="9214" w:type="dxa"/>
          </w:tcPr>
          <w:p w14:paraId="573A3D17" w14:textId="77777777" w:rsidR="003C0139" w:rsidRDefault="003B5A83">
            <w:pPr>
              <w:pStyle w:val="TableParagraph"/>
              <w:rPr>
                <w:b/>
              </w:rPr>
            </w:pPr>
            <w:r w:rsidRPr="002605C0">
              <w:rPr>
                <w:b/>
                <w:highlight w:val="lightGray"/>
              </w:rPr>
              <w:t>Welche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bestehende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Methode</w:t>
            </w:r>
            <w:r w:rsidRPr="002605C0">
              <w:rPr>
                <w:b/>
                <w:spacing w:val="-4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wird</w:t>
            </w:r>
            <w:r w:rsidRPr="002605C0">
              <w:rPr>
                <w:b/>
                <w:spacing w:val="-5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durch</w:t>
            </w:r>
            <w:r w:rsidRPr="002605C0">
              <w:rPr>
                <w:b/>
                <w:spacing w:val="-4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die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neue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Methode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abgelöst</w:t>
            </w:r>
            <w:r w:rsidRPr="002605C0">
              <w:rPr>
                <w:b/>
                <w:spacing w:val="-5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oder</w:t>
            </w:r>
            <w:r w:rsidRPr="002605C0">
              <w:rPr>
                <w:b/>
                <w:spacing w:val="-4"/>
                <w:highlight w:val="lightGray"/>
              </w:rPr>
              <w:t xml:space="preserve"> </w:t>
            </w:r>
            <w:r w:rsidRPr="002605C0">
              <w:rPr>
                <w:b/>
                <w:spacing w:val="-2"/>
                <w:highlight w:val="lightGray"/>
              </w:rPr>
              <w:t>ergänzt?</w:t>
            </w:r>
          </w:p>
        </w:tc>
      </w:tr>
      <w:tr w:rsidR="003C0139" w:rsidRPr="002605C0" w14:paraId="573A3D1A" w14:textId="77777777" w:rsidTr="696EB8AE">
        <w:trPr>
          <w:trHeight w:val="253"/>
        </w:trPr>
        <w:tc>
          <w:tcPr>
            <w:tcW w:w="9214" w:type="dxa"/>
          </w:tcPr>
          <w:p w14:paraId="1EE35C45" w14:textId="62F633AB" w:rsidR="001125C4" w:rsidRDefault="1D8C6CCE" w:rsidP="006E603E">
            <w:pPr>
              <w:pStyle w:val="TableParagraph"/>
              <w:spacing w:after="120" w:line="234" w:lineRule="exact"/>
              <w:ind w:left="74"/>
            </w:pPr>
            <w:r>
              <w:t xml:space="preserve">In Deutschland sind zur passiven Immunisierung von Neugeborenen und Säuglingen gegen RSV bisher die monoklonalen Antikörper </w:t>
            </w:r>
            <w:proofErr w:type="spellStart"/>
            <w:r>
              <w:t>Palivizumab</w:t>
            </w:r>
            <w:proofErr w:type="spellEnd"/>
            <w:r>
              <w:t xml:space="preserve"> und </w:t>
            </w:r>
            <w:proofErr w:type="spellStart"/>
            <w:r>
              <w:t>Nirsevimab</w:t>
            </w:r>
            <w:proofErr w:type="spellEnd"/>
            <w:r>
              <w:t xml:space="preserve"> verfügbar, beide richten sich gegen das RSV-F-Protein. </w:t>
            </w:r>
            <w:proofErr w:type="spellStart"/>
            <w:r>
              <w:t>Palivizumab</w:t>
            </w:r>
            <w:proofErr w:type="spellEnd"/>
            <w:r>
              <w:t xml:space="preserve"> </w:t>
            </w:r>
            <w:r w:rsidR="00A20838">
              <w:t xml:space="preserve">(Zulassung im August 1999) </w:t>
            </w:r>
            <w:r>
              <w:t xml:space="preserve">ist nur für Kinder mit hohem Risiko für RSV-Erkrankungen zugelassen und wird gewichtsabhängig in bis zu fünf Dosen pro Saison verabreicht, da es eine kurze Halbwertszeit hat. </w:t>
            </w:r>
            <w:proofErr w:type="spellStart"/>
            <w:r w:rsidR="50BD3FE5">
              <w:t>Nirsevimab</w:t>
            </w:r>
            <w:proofErr w:type="spellEnd"/>
            <w:r w:rsidR="50BD3FE5">
              <w:t xml:space="preserve"> </w:t>
            </w:r>
            <w:r w:rsidR="00A20838">
              <w:t xml:space="preserve">(Zulassung im November 2022) </w:t>
            </w:r>
            <w:r w:rsidR="0DA02032">
              <w:t xml:space="preserve">ist zur </w:t>
            </w:r>
            <w:r w:rsidR="50BD3FE5">
              <w:t>Prävention von RSV-Erkrankungen bei Neugeborenen, Säuglingen und Kleinkindern während ihrer ersten RSV-Saison</w:t>
            </w:r>
            <w:r w:rsidR="0DA02032">
              <w:t xml:space="preserve"> zugelassen</w:t>
            </w:r>
            <w:r w:rsidR="50BD3FE5">
              <w:t xml:space="preserve">. </w:t>
            </w:r>
            <w:proofErr w:type="spellStart"/>
            <w:r>
              <w:t>Nirsevimab</w:t>
            </w:r>
            <w:proofErr w:type="spellEnd"/>
            <w:r>
              <w:t xml:space="preserve"> wird ebenfalls </w:t>
            </w:r>
            <w:r>
              <w:lastRenderedPageBreak/>
              <w:t xml:space="preserve">gewichtsabhängig als Einmaldosis in der ersten RSV-Saison gegeben. </w:t>
            </w:r>
          </w:p>
          <w:p w14:paraId="573A3D19" w14:textId="42F46467" w:rsidR="003E035B" w:rsidRPr="000C73C2" w:rsidRDefault="001125C4" w:rsidP="001125C4">
            <w:pPr>
              <w:pStyle w:val="TableParagraph"/>
              <w:spacing w:after="120" w:line="234" w:lineRule="exact"/>
              <w:ind w:left="74"/>
            </w:pPr>
            <w:proofErr w:type="spellStart"/>
            <w:r w:rsidRPr="003E035B">
              <w:t>Clesrovimab</w:t>
            </w:r>
            <w:proofErr w:type="spellEnd"/>
            <w:r w:rsidRPr="003E035B">
              <w:t xml:space="preserve"> hingegen wird als </w:t>
            </w:r>
            <w:r>
              <w:t xml:space="preserve">einziger Wirkstoff in Form einer </w:t>
            </w:r>
            <w:r w:rsidRPr="003E035B">
              <w:t>gewichtsunabhängig</w:t>
            </w:r>
            <w:r>
              <w:t>en</w:t>
            </w:r>
            <w:r w:rsidRPr="003E035B">
              <w:t xml:space="preserve"> Einmaldosis verabreicht, </w:t>
            </w:r>
            <w:r>
              <w:t>sodass</w:t>
            </w:r>
            <w:r w:rsidRPr="003E035B">
              <w:t xml:space="preserve"> Dosierungsfehler minimiert </w:t>
            </w:r>
            <w:r>
              <w:t xml:space="preserve">werden. Dies erhöht die Einfachheit der Anwendung und somit die Sicherheit für die </w:t>
            </w:r>
            <w:proofErr w:type="gramStart"/>
            <w:r>
              <w:t>Patient:innen</w:t>
            </w:r>
            <w:proofErr w:type="gramEnd"/>
            <w:r>
              <w:t xml:space="preserve"> erheblich.</w:t>
            </w:r>
            <w:r w:rsidRPr="003E035B">
              <w:t xml:space="preserve"> Dank seiner langen Halbwertszeit bietet </w:t>
            </w:r>
            <w:proofErr w:type="spellStart"/>
            <w:r w:rsidRPr="003E035B">
              <w:t>Clesrovimab</w:t>
            </w:r>
            <w:proofErr w:type="spellEnd"/>
            <w:r w:rsidRPr="003E035B">
              <w:t xml:space="preserve"> einen langanhaltenden Schutz über die gesamte RSV-Saison und reduziert signifikant das Risiko schwerer RSV-Verläufe</w:t>
            </w:r>
            <w:r>
              <w:t xml:space="preserve">. </w:t>
            </w:r>
            <w:r w:rsidR="2B4E172E">
              <w:t xml:space="preserve">Somit ergänzt </w:t>
            </w:r>
            <w:proofErr w:type="spellStart"/>
            <w:r w:rsidR="2B4E172E">
              <w:t>Clesrovimab</w:t>
            </w:r>
            <w:proofErr w:type="spellEnd"/>
            <w:r w:rsidR="2B4E172E">
              <w:t xml:space="preserve"> das Behandlungsspektrum zur passiven Immunisierung gegen RSV.</w:t>
            </w:r>
          </w:p>
        </w:tc>
      </w:tr>
    </w:tbl>
    <w:p w14:paraId="573A3D1B" w14:textId="77777777" w:rsidR="003C0139" w:rsidRPr="00C12710" w:rsidRDefault="003C0139">
      <w:pPr>
        <w:pStyle w:val="Textkrper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1D" w14:textId="77777777" w:rsidTr="1419BBB0">
        <w:trPr>
          <w:trHeight w:val="503"/>
        </w:trPr>
        <w:tc>
          <w:tcPr>
            <w:tcW w:w="9214" w:type="dxa"/>
          </w:tcPr>
          <w:p w14:paraId="573A3D1C" w14:textId="77777777" w:rsidR="003C0139" w:rsidRDefault="003B5A83">
            <w:pPr>
              <w:pStyle w:val="TableParagraph"/>
              <w:spacing w:line="252" w:lineRule="exact"/>
              <w:ind w:right="185"/>
              <w:rPr>
                <w:b/>
              </w:rPr>
            </w:pPr>
            <w:r>
              <w:rPr>
                <w:b/>
              </w:rPr>
              <w:t>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Methode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vollständig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Teilen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warum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handelt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Untersuchungs- und Behandlungsmethode?</w:t>
            </w:r>
          </w:p>
        </w:tc>
      </w:tr>
      <w:tr w:rsidR="003C0139" w:rsidRPr="002B5966" w14:paraId="573A3D1F" w14:textId="77777777" w:rsidTr="1419BBB0">
        <w:trPr>
          <w:trHeight w:val="506"/>
        </w:trPr>
        <w:tc>
          <w:tcPr>
            <w:tcW w:w="9214" w:type="dxa"/>
          </w:tcPr>
          <w:p w14:paraId="6259E604" w14:textId="77777777" w:rsidR="00EC03C9" w:rsidRDefault="00137F27" w:rsidP="00C12710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 w:rsidRPr="00B92479">
              <w:rPr>
                <w:spacing w:val="-2"/>
              </w:rPr>
              <w:t>Clesrovimab</w:t>
            </w:r>
            <w:proofErr w:type="spellEnd"/>
            <w:r w:rsidRPr="00B92479">
              <w:rPr>
                <w:spacing w:val="-2"/>
              </w:rPr>
              <w:t xml:space="preserve"> ist ein vollständig humaner</w:t>
            </w:r>
            <w:r w:rsidR="00257C97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 w:rsidRPr="00B92479">
              <w:rPr>
                <w:spacing w:val="-2"/>
              </w:rPr>
              <w:t xml:space="preserve">monoklonaler </w:t>
            </w:r>
            <w:r w:rsidRPr="006A086A">
              <w:rPr>
                <w:spacing w:val="-2"/>
              </w:rPr>
              <w:t>IgG1κ-</w:t>
            </w:r>
            <w:r w:rsidRPr="00B92479">
              <w:rPr>
                <w:spacing w:val="-2"/>
              </w:rPr>
              <w:t>Antikörper</w:t>
            </w:r>
            <w:r w:rsidR="00780CE7">
              <w:rPr>
                <w:spacing w:val="-2"/>
              </w:rPr>
              <w:t>, d</w:t>
            </w:r>
            <w:r w:rsidR="00780CE7" w:rsidRPr="00780CE7">
              <w:rPr>
                <w:spacing w:val="-2"/>
              </w:rPr>
              <w:t xml:space="preserve">er </w:t>
            </w:r>
            <w:r w:rsidR="00780CE7" w:rsidRPr="00B92479">
              <w:rPr>
                <w:spacing w:val="-2"/>
              </w:rPr>
              <w:t xml:space="preserve">spezifisch und mit hoher Affinität </w:t>
            </w:r>
            <w:r w:rsidR="00780CE7" w:rsidRPr="00780CE7">
              <w:rPr>
                <w:spacing w:val="-2"/>
              </w:rPr>
              <w:t xml:space="preserve">an ein </w:t>
            </w:r>
            <w:r w:rsidR="00922B82">
              <w:rPr>
                <w:spacing w:val="-2"/>
              </w:rPr>
              <w:t>hoch</w:t>
            </w:r>
            <w:r w:rsidR="00780CE7" w:rsidRPr="00780CE7">
              <w:rPr>
                <w:spacing w:val="-2"/>
              </w:rPr>
              <w:t xml:space="preserve">konserviertes Epitop </w:t>
            </w:r>
            <w:r w:rsidR="00922B82">
              <w:rPr>
                <w:spacing w:val="-2"/>
              </w:rPr>
              <w:t>des RSV-</w:t>
            </w:r>
            <w:r w:rsidR="00780CE7" w:rsidRPr="00780CE7">
              <w:rPr>
                <w:spacing w:val="-2"/>
              </w:rPr>
              <w:t xml:space="preserve">F-Proteins </w:t>
            </w:r>
            <w:r w:rsidR="00780CE7">
              <w:rPr>
                <w:spacing w:val="-2"/>
              </w:rPr>
              <w:t xml:space="preserve">in seiner </w:t>
            </w:r>
            <w:r w:rsidR="00780CE7" w:rsidRPr="00780CE7">
              <w:rPr>
                <w:spacing w:val="-2"/>
              </w:rPr>
              <w:t>Prä-</w:t>
            </w:r>
            <w:r w:rsidR="00780CE7">
              <w:rPr>
                <w:spacing w:val="-2"/>
              </w:rPr>
              <w:t xml:space="preserve"> sowie</w:t>
            </w:r>
            <w:r w:rsidR="00780CE7" w:rsidRPr="00780CE7">
              <w:rPr>
                <w:spacing w:val="-2"/>
              </w:rPr>
              <w:t xml:space="preserve"> Post-Fusionsstruktur bindet</w:t>
            </w:r>
            <w:r w:rsidR="00780CE7">
              <w:rPr>
                <w:spacing w:val="-2"/>
              </w:rPr>
              <w:t xml:space="preserve">. </w:t>
            </w:r>
            <w:r w:rsidR="00922B82" w:rsidRPr="00114767">
              <w:rPr>
                <w:color w:val="000000" w:themeColor="text1"/>
              </w:rPr>
              <w:t xml:space="preserve">Diese </w:t>
            </w:r>
            <w:r w:rsidR="00922B82">
              <w:rPr>
                <w:color w:val="000000" w:themeColor="text1"/>
              </w:rPr>
              <w:t>Bindes</w:t>
            </w:r>
            <w:r w:rsidR="00922B82" w:rsidRPr="00114767">
              <w:rPr>
                <w:color w:val="000000" w:themeColor="text1"/>
              </w:rPr>
              <w:t xml:space="preserve">telle verändert sich kaum, sodass der Antikörper das Virus zuverlässig erkennt. </w:t>
            </w:r>
            <w:r>
              <w:t xml:space="preserve">Zudem wurde </w:t>
            </w:r>
            <w:proofErr w:type="spellStart"/>
            <w:r>
              <w:t>Clesrovimab</w:t>
            </w:r>
            <w:proofErr w:type="spellEnd"/>
            <w:r>
              <w:t xml:space="preserve"> durch </w:t>
            </w:r>
            <w:r w:rsidRPr="6BC920B4">
              <w:t xml:space="preserve">eine dreifache Aminosäuresubstitution (YTE) in der </w:t>
            </w:r>
            <w:proofErr w:type="spellStart"/>
            <w:r w:rsidRPr="6BC920B4">
              <w:t>Fc</w:t>
            </w:r>
            <w:proofErr w:type="spellEnd"/>
            <w:r w:rsidRPr="6BC920B4">
              <w:t>-Region</w:t>
            </w:r>
            <w:r>
              <w:t xml:space="preserve"> modifiziert</w:t>
            </w:r>
            <w:r w:rsidRPr="6BC920B4">
              <w:t xml:space="preserve">, was zu einer verlängerten Serumhalbwertszeit </w:t>
            </w:r>
            <w:r>
              <w:t xml:space="preserve">von </w:t>
            </w:r>
            <w:proofErr w:type="spellStart"/>
            <w:r>
              <w:t>Clesrovimab</w:t>
            </w:r>
            <w:proofErr w:type="spellEnd"/>
            <w:r>
              <w:t xml:space="preserve"> </w:t>
            </w:r>
            <w:r w:rsidRPr="6BC920B4">
              <w:t>führt</w:t>
            </w:r>
            <w:r>
              <w:t xml:space="preserve">. </w:t>
            </w:r>
            <w:r w:rsidR="00B704E8" w:rsidRPr="00B704E8">
              <w:t xml:space="preserve">Aufgrund seiner langen Halbwertszeit bietet </w:t>
            </w:r>
            <w:proofErr w:type="spellStart"/>
            <w:proofErr w:type="gramStart"/>
            <w:r w:rsidR="00B704E8" w:rsidRPr="00B704E8">
              <w:t>Clesrovimab</w:t>
            </w:r>
            <w:proofErr w:type="spellEnd"/>
            <w:proofErr w:type="gramEnd"/>
            <w:r w:rsidR="00B704E8" w:rsidRPr="00B704E8">
              <w:t xml:space="preserve"> während der gesamten RSV-Saison Schutz vor schweren Verläufen und verringert das Risiko von Hospitalisierungen. </w:t>
            </w:r>
            <w:r w:rsidR="0019194C">
              <w:t>D</w:t>
            </w:r>
            <w:r w:rsidR="00B704E8">
              <w:rPr>
                <w:spacing w:val="-2"/>
              </w:rPr>
              <w:t xml:space="preserve">ie gewichtsunabhängige Einmaldosis </w:t>
            </w:r>
            <w:r w:rsidR="00B704E8" w:rsidRPr="00637FBA">
              <w:rPr>
                <w:spacing w:val="-2"/>
              </w:rPr>
              <w:t xml:space="preserve">minimiert </w:t>
            </w:r>
            <w:r w:rsidR="0019194C">
              <w:rPr>
                <w:spacing w:val="-2"/>
              </w:rPr>
              <w:t xml:space="preserve">zudem </w:t>
            </w:r>
            <w:r w:rsidR="00B704E8" w:rsidRPr="00637FBA">
              <w:rPr>
                <w:spacing w:val="-2"/>
              </w:rPr>
              <w:t>das Risiko von Dosierungsfehlern</w:t>
            </w:r>
            <w:r w:rsidR="00B704E8">
              <w:rPr>
                <w:spacing w:val="-2"/>
              </w:rPr>
              <w:t xml:space="preserve">. </w:t>
            </w:r>
          </w:p>
          <w:p w14:paraId="0E89B8A0" w14:textId="5B5D4948" w:rsidR="00EC03C9" w:rsidRDefault="00EC03C9" w:rsidP="00EC03C9">
            <w:pPr>
              <w:pStyle w:val="TableParagraph"/>
              <w:spacing w:line="252" w:lineRule="exact"/>
            </w:pPr>
            <w:r w:rsidRPr="00CD16C9">
              <w:t>Das Medikament ist in den USA seit dem 09. Juni 2025 zugelassen</w:t>
            </w:r>
            <w:r>
              <w:t>.</w:t>
            </w:r>
          </w:p>
          <w:p w14:paraId="27C4603B" w14:textId="499E8B7C" w:rsidR="00B704E8" w:rsidRDefault="00B704E8" w:rsidP="00C12710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>
              <w:t>Clesrovimab</w:t>
            </w:r>
            <w:proofErr w:type="spellEnd"/>
            <w:r>
              <w:rPr>
                <w:spacing w:val="-2"/>
              </w:rPr>
              <w:t xml:space="preserve"> stellt damit eine neue Behandlungsmethode dar</w:t>
            </w:r>
            <w:r w:rsidRPr="00637FBA">
              <w:rPr>
                <w:spacing w:val="-2"/>
              </w:rPr>
              <w:t>.</w:t>
            </w:r>
          </w:p>
          <w:p w14:paraId="573A3D1E" w14:textId="57C9B0C1" w:rsidR="00114767" w:rsidRPr="00C12710" w:rsidRDefault="00114767" w:rsidP="00957490">
            <w:pPr>
              <w:pStyle w:val="TableParagraph"/>
              <w:spacing w:line="252" w:lineRule="exact"/>
              <w:rPr>
                <w:color w:val="000000" w:themeColor="text1"/>
              </w:rPr>
            </w:pPr>
          </w:p>
        </w:tc>
      </w:tr>
    </w:tbl>
    <w:p w14:paraId="573A3D20" w14:textId="77777777" w:rsidR="003C0139" w:rsidRPr="00C12710" w:rsidRDefault="003C0139">
      <w:pPr>
        <w:pStyle w:val="Textkrper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22" w14:textId="77777777" w:rsidTr="4440880A">
        <w:trPr>
          <w:trHeight w:val="253"/>
        </w:trPr>
        <w:tc>
          <w:tcPr>
            <w:tcW w:w="9214" w:type="dxa"/>
          </w:tcPr>
          <w:p w14:paraId="573A3D21" w14:textId="7840DC79" w:rsidR="003C0139" w:rsidRDefault="003B5A83" w:rsidP="005D0BD9">
            <w:pPr>
              <w:pStyle w:val="TableParagraph"/>
              <w:spacing w:line="234" w:lineRule="exact"/>
              <w:rPr>
                <w:b/>
                <w:bCs/>
              </w:rPr>
            </w:pPr>
            <w:r w:rsidRPr="5D5C9F06">
              <w:rPr>
                <w:b/>
                <w:bCs/>
              </w:rPr>
              <w:t>Welche</w:t>
            </w:r>
            <w:r w:rsidRPr="5D5C9F06">
              <w:rPr>
                <w:b/>
                <w:bCs/>
                <w:spacing w:val="-6"/>
              </w:rPr>
              <w:t xml:space="preserve"> </w:t>
            </w:r>
            <w:r w:rsidRPr="5D5C9F06">
              <w:rPr>
                <w:b/>
                <w:bCs/>
              </w:rPr>
              <w:t>Auswirkungen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hat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die</w:t>
            </w:r>
            <w:r w:rsidRPr="5D5C9F06">
              <w:rPr>
                <w:b/>
                <w:bCs/>
                <w:spacing w:val="-4"/>
              </w:rPr>
              <w:t xml:space="preserve"> </w:t>
            </w:r>
            <w:r w:rsidRPr="5D5C9F06">
              <w:rPr>
                <w:b/>
                <w:bCs/>
              </w:rPr>
              <w:t>Methode</w:t>
            </w:r>
            <w:r w:rsidRPr="5D5C9F06">
              <w:rPr>
                <w:b/>
                <w:bCs/>
                <w:spacing w:val="-6"/>
              </w:rPr>
              <w:t xml:space="preserve"> </w:t>
            </w:r>
            <w:r w:rsidRPr="5D5C9F06">
              <w:rPr>
                <w:b/>
                <w:bCs/>
              </w:rPr>
              <w:t>auf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die</w:t>
            </w:r>
            <w:r w:rsidRPr="5D5C9F06">
              <w:rPr>
                <w:b/>
                <w:bCs/>
                <w:spacing w:val="-4"/>
              </w:rPr>
              <w:t xml:space="preserve"> </w:t>
            </w:r>
            <w:r w:rsidRPr="5D5C9F06">
              <w:rPr>
                <w:b/>
                <w:bCs/>
              </w:rPr>
              <w:t>Verweildauer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im</w:t>
            </w:r>
            <w:r w:rsidRPr="5D5C9F06">
              <w:rPr>
                <w:b/>
                <w:bCs/>
                <w:spacing w:val="-4"/>
              </w:rPr>
              <w:t xml:space="preserve"> </w:t>
            </w:r>
            <w:r w:rsidRPr="5D5C9F06">
              <w:rPr>
                <w:b/>
                <w:bCs/>
                <w:spacing w:val="-2"/>
              </w:rPr>
              <w:t>Krankenhaus?</w:t>
            </w:r>
          </w:p>
        </w:tc>
      </w:tr>
      <w:tr w:rsidR="003C0139" w:rsidRPr="0039613E" w14:paraId="573A3D24" w14:textId="77777777" w:rsidTr="4440880A">
        <w:trPr>
          <w:trHeight w:val="503"/>
        </w:trPr>
        <w:tc>
          <w:tcPr>
            <w:tcW w:w="9214" w:type="dxa"/>
          </w:tcPr>
          <w:p w14:paraId="573A3D23" w14:textId="71884E9E" w:rsidR="003C0139" w:rsidRPr="0039613E" w:rsidRDefault="00E161F2" w:rsidP="002B5966">
            <w:pPr>
              <w:pStyle w:val="TableParagraph"/>
              <w:spacing w:line="252" w:lineRule="exact"/>
            </w:pPr>
            <w:r w:rsidRPr="00E161F2">
              <w:rPr>
                <w:color w:val="000000" w:themeColor="text1"/>
              </w:rPr>
              <w:t>Zur Veränderung der Verweildauer im Krankenhaus können derzeit aufgrund fehlender Erfahrungen keine Aussagen gemacht werden.</w:t>
            </w:r>
          </w:p>
        </w:tc>
      </w:tr>
    </w:tbl>
    <w:p w14:paraId="573A3D25" w14:textId="77777777" w:rsidR="003C0139" w:rsidRPr="0039613E" w:rsidRDefault="003C0139">
      <w:pPr>
        <w:pStyle w:val="Textkrper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27" w14:textId="77777777" w:rsidTr="00F375E5">
        <w:trPr>
          <w:trHeight w:val="254"/>
          <w:tblHeader/>
        </w:trPr>
        <w:tc>
          <w:tcPr>
            <w:tcW w:w="9214" w:type="dxa"/>
          </w:tcPr>
          <w:p w14:paraId="573A3D26" w14:textId="77777777" w:rsidR="003C0139" w:rsidRDefault="003B5A83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Wann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wurde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Deutschland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eingeführt?</w:t>
            </w:r>
          </w:p>
        </w:tc>
      </w:tr>
      <w:tr w:rsidR="003C0139" w:rsidRPr="00CD16C9" w14:paraId="573A3D29" w14:textId="77777777">
        <w:trPr>
          <w:trHeight w:val="251"/>
        </w:trPr>
        <w:tc>
          <w:tcPr>
            <w:tcW w:w="9214" w:type="dxa"/>
          </w:tcPr>
          <w:p w14:paraId="573A3D28" w14:textId="75EE4043" w:rsidR="003C0139" w:rsidRPr="00CD16C9" w:rsidRDefault="00423CB5">
            <w:pPr>
              <w:pStyle w:val="TableParagraph"/>
            </w:pPr>
            <w:r w:rsidRPr="00CD16C9">
              <w:t xml:space="preserve">Die Einführung in Deutschland wird zeitnah nach der Zulassung </w:t>
            </w:r>
            <w:r w:rsidR="00EC03C9">
              <w:t xml:space="preserve">in Europa </w:t>
            </w:r>
            <w:r w:rsidRPr="00CD16C9">
              <w:t>zum Jahresende 2025 erwartet.</w:t>
            </w:r>
          </w:p>
        </w:tc>
      </w:tr>
    </w:tbl>
    <w:p w14:paraId="573A3D2A" w14:textId="77777777" w:rsidR="003C0139" w:rsidRPr="00CD16C9" w:rsidRDefault="003C0139">
      <w:pPr>
        <w:pStyle w:val="Textkrper"/>
        <w:spacing w:before="1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2C" w14:textId="77777777">
        <w:trPr>
          <w:trHeight w:val="251"/>
        </w:trPr>
        <w:tc>
          <w:tcPr>
            <w:tcW w:w="9214" w:type="dxa"/>
          </w:tcPr>
          <w:p w14:paraId="573A3D2B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Bei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Medikamenten: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Wann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wurde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dieses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Medikament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  <w:spacing w:val="-2"/>
              </w:rPr>
              <w:t>zugelassen?</w:t>
            </w:r>
          </w:p>
        </w:tc>
      </w:tr>
      <w:tr w:rsidR="003C0139" w:rsidRPr="00CD16C9" w14:paraId="573A3D2E" w14:textId="77777777" w:rsidTr="0048406E">
        <w:trPr>
          <w:trHeight w:val="903"/>
        </w:trPr>
        <w:tc>
          <w:tcPr>
            <w:tcW w:w="9214" w:type="dxa"/>
          </w:tcPr>
          <w:p w14:paraId="573A3D2D" w14:textId="2031D14C" w:rsidR="00BB31CB" w:rsidRPr="00CD16C9" w:rsidRDefault="00567C86" w:rsidP="007047EA">
            <w:pPr>
              <w:pStyle w:val="TableParagraph"/>
              <w:ind w:left="0"/>
            </w:pPr>
            <w:r w:rsidRPr="00CD16C9">
              <w:t xml:space="preserve">Das Medikament ist in den USA </w:t>
            </w:r>
            <w:r w:rsidR="00B0284B" w:rsidRPr="00CD16C9">
              <w:t>seit dem 09. Juni 2025</w:t>
            </w:r>
            <w:r w:rsidRPr="00CD16C9">
              <w:t xml:space="preserve"> zugelassen und </w:t>
            </w:r>
            <w:r w:rsidR="00B0284B" w:rsidRPr="00CD16C9">
              <w:t xml:space="preserve">ist </w:t>
            </w:r>
            <w:r w:rsidRPr="00CD16C9">
              <w:t>zur Zulassung in Europa bei der EMA eingereicht. Eine Zulassung in der EU wird zum Jahresende 2025 erwartet.</w:t>
            </w:r>
          </w:p>
        </w:tc>
      </w:tr>
    </w:tbl>
    <w:p w14:paraId="573A3D2F" w14:textId="77777777" w:rsidR="003C0139" w:rsidRPr="00CD16C9" w:rsidRDefault="003C0139">
      <w:pPr>
        <w:pStyle w:val="Textkrper"/>
        <w:spacing w:before="2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31" w14:textId="77777777">
        <w:trPr>
          <w:trHeight w:val="251"/>
        </w:trPr>
        <w:tc>
          <w:tcPr>
            <w:tcW w:w="9214" w:type="dxa"/>
          </w:tcPr>
          <w:p w14:paraId="573A3D30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Wann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wurde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bzw.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wird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die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in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Ihrem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Krankenhaus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  <w:spacing w:val="-2"/>
              </w:rPr>
              <w:t>eingeführt?</w:t>
            </w:r>
          </w:p>
        </w:tc>
      </w:tr>
      <w:tr w:rsidR="003C0139" w:rsidRPr="00CD16C9" w14:paraId="573A3D33" w14:textId="77777777">
        <w:trPr>
          <w:trHeight w:val="251"/>
        </w:trPr>
        <w:tc>
          <w:tcPr>
            <w:tcW w:w="9214" w:type="dxa"/>
          </w:tcPr>
          <w:p w14:paraId="573A3D32" w14:textId="77777777" w:rsidR="003C0139" w:rsidRPr="00CD16C9" w:rsidRDefault="003B5A83">
            <w:pPr>
              <w:pStyle w:val="TableParagraph"/>
            </w:pPr>
            <w:r w:rsidRPr="00CD16C9">
              <w:rPr>
                <w:color w:val="000000"/>
                <w:shd w:val="clear" w:color="auto" w:fill="FFFF00"/>
              </w:rPr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</w:tbl>
    <w:p w14:paraId="573A3D34" w14:textId="77777777" w:rsidR="003C0139" w:rsidRPr="00CD16C9" w:rsidRDefault="003C0139">
      <w:pPr>
        <w:pStyle w:val="Textkrper"/>
        <w:spacing w:before="2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36" w14:textId="77777777" w:rsidTr="5D5C9F06">
        <w:trPr>
          <w:trHeight w:val="251"/>
        </w:trPr>
        <w:tc>
          <w:tcPr>
            <w:tcW w:w="9214" w:type="dxa"/>
          </w:tcPr>
          <w:p w14:paraId="573A3D35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In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wie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vielen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Kliniken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wird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diese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derzeit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eingesetzt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  <w:spacing w:val="-2"/>
              </w:rPr>
              <w:t>(Schätzung)?</w:t>
            </w:r>
          </w:p>
        </w:tc>
      </w:tr>
      <w:tr w:rsidR="007047EA" w:rsidRPr="00CD16C9" w14:paraId="573A3D38" w14:textId="77777777" w:rsidTr="5D5C9F06">
        <w:trPr>
          <w:trHeight w:val="253"/>
        </w:trPr>
        <w:tc>
          <w:tcPr>
            <w:tcW w:w="9214" w:type="dxa"/>
          </w:tcPr>
          <w:p w14:paraId="4394A9EF" w14:textId="4383DAE0" w:rsidR="007047EA" w:rsidRPr="00CD16C9" w:rsidRDefault="007047EA" w:rsidP="007047EA">
            <w:pPr>
              <w:pStyle w:val="TableParagraph"/>
              <w:spacing w:line="234" w:lineRule="exact"/>
              <w:rPr>
                <w:rStyle w:val="cf01"/>
                <w:rFonts w:ascii="Arial Narrow" w:hAnsi="Arial Narrow"/>
                <w:sz w:val="22"/>
                <w:szCs w:val="22"/>
              </w:rPr>
            </w:pPr>
            <w:proofErr w:type="spellStart"/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>Clesrovimab</w:t>
            </w:r>
            <w:proofErr w:type="spellEnd"/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 xml:space="preserve"> wird aufgrund der bisher </w:t>
            </w:r>
            <w:r w:rsidR="00EC03C9">
              <w:rPr>
                <w:rStyle w:val="cf01"/>
                <w:rFonts w:ascii="Arial Narrow" w:hAnsi="Arial Narrow"/>
                <w:sz w:val="22"/>
                <w:szCs w:val="22"/>
              </w:rPr>
              <w:t xml:space="preserve">in Europa </w:t>
            </w:r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 xml:space="preserve">noch nicht erteilten Zulassung nicht in </w:t>
            </w:r>
            <w:r w:rsidR="00EC03C9">
              <w:rPr>
                <w:rStyle w:val="cf01"/>
                <w:rFonts w:ascii="Arial Narrow" w:hAnsi="Arial Narrow"/>
                <w:sz w:val="22"/>
                <w:szCs w:val="22"/>
              </w:rPr>
              <w:t xml:space="preserve">deutschen </w:t>
            </w:r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>Kliniken eingesetzt.</w:t>
            </w:r>
          </w:p>
          <w:p w14:paraId="573A3D37" w14:textId="29C1BC8B" w:rsidR="007047EA" w:rsidRPr="00CD16C9" w:rsidRDefault="007047EA" w:rsidP="007047EA">
            <w:pPr>
              <w:pStyle w:val="TableParagraph"/>
              <w:spacing w:line="234" w:lineRule="exact"/>
            </w:pPr>
          </w:p>
        </w:tc>
      </w:tr>
    </w:tbl>
    <w:p w14:paraId="573A3D39" w14:textId="77777777" w:rsidR="003C0139" w:rsidRPr="00CD16C9" w:rsidRDefault="003C0139">
      <w:pPr>
        <w:pStyle w:val="Textkrper"/>
        <w:rPr>
          <w:sz w:val="22"/>
          <w:szCs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3B" w14:textId="77777777" w:rsidTr="33070B38">
        <w:trPr>
          <w:trHeight w:val="251"/>
        </w:trPr>
        <w:tc>
          <w:tcPr>
            <w:tcW w:w="9214" w:type="dxa"/>
          </w:tcPr>
          <w:p w14:paraId="573A3D3A" w14:textId="287D0A45" w:rsidR="003C0139" w:rsidRPr="00CD16C9" w:rsidRDefault="003B5A83" w:rsidP="769C7F23">
            <w:pPr>
              <w:pStyle w:val="TableParagraph"/>
              <w:rPr>
                <w:b/>
                <w:bCs/>
              </w:rPr>
            </w:pPr>
            <w:r w:rsidRPr="00CD16C9">
              <w:rPr>
                <w:b/>
                <w:bCs/>
              </w:rPr>
              <w:t>Wie</w:t>
            </w:r>
            <w:r w:rsidRPr="00CD16C9">
              <w:rPr>
                <w:b/>
                <w:bCs/>
                <w:spacing w:val="-5"/>
              </w:rPr>
              <w:t xml:space="preserve"> </w:t>
            </w:r>
            <w:r w:rsidRPr="00CD16C9">
              <w:rPr>
                <w:b/>
                <w:bCs/>
              </w:rPr>
              <w:t>viele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Patienten</w:t>
            </w:r>
            <w:r w:rsidRPr="00CD16C9">
              <w:rPr>
                <w:b/>
                <w:bCs/>
                <w:spacing w:val="-6"/>
              </w:rPr>
              <w:t xml:space="preserve"> </w:t>
            </w:r>
            <w:r w:rsidRPr="00CD16C9">
              <w:rPr>
                <w:b/>
                <w:bCs/>
              </w:rPr>
              <w:t>wurden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in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Ihrem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Krankenhaus</w:t>
            </w:r>
            <w:r w:rsidRPr="00CD16C9">
              <w:rPr>
                <w:b/>
                <w:bCs/>
                <w:spacing w:val="-5"/>
              </w:rPr>
              <w:t xml:space="preserve"> </w:t>
            </w:r>
            <w:proofErr w:type="gramStart"/>
            <w:r w:rsidRPr="00CD16C9">
              <w:rPr>
                <w:b/>
                <w:bCs/>
              </w:rPr>
              <w:t>in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202</w:t>
            </w:r>
            <w:r w:rsidR="1F89A3DE" w:rsidRPr="00CD16C9">
              <w:rPr>
                <w:b/>
                <w:bCs/>
              </w:rPr>
              <w:t>4</w:t>
            </w:r>
            <w:proofErr w:type="gramEnd"/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oder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proofErr w:type="gramStart"/>
            <w:r w:rsidRPr="00CD16C9">
              <w:rPr>
                <w:b/>
                <w:bCs/>
              </w:rPr>
              <w:t>in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202</w:t>
            </w:r>
            <w:r w:rsidR="696C7356" w:rsidRPr="00CD16C9">
              <w:rPr>
                <w:b/>
                <w:bCs/>
              </w:rPr>
              <w:t>5</w:t>
            </w:r>
            <w:proofErr w:type="gramEnd"/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mit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dieser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Methode</w:t>
            </w:r>
            <w:r w:rsidRPr="00CD16C9">
              <w:rPr>
                <w:b/>
                <w:bCs/>
                <w:spacing w:val="-2"/>
              </w:rPr>
              <w:t xml:space="preserve"> behandelt?</w:t>
            </w:r>
          </w:p>
        </w:tc>
      </w:tr>
      <w:tr w:rsidR="003C0139" w:rsidRPr="00CD16C9" w14:paraId="573A3D3D" w14:textId="77777777" w:rsidTr="33070B38">
        <w:trPr>
          <w:trHeight w:val="251"/>
        </w:trPr>
        <w:tc>
          <w:tcPr>
            <w:tcW w:w="9214" w:type="dxa"/>
          </w:tcPr>
          <w:p w14:paraId="573A3D3C" w14:textId="74A7D29C" w:rsidR="003C0139" w:rsidRPr="00CD16C9" w:rsidRDefault="003B5A83">
            <w:pPr>
              <w:pStyle w:val="TableParagraph"/>
            </w:pPr>
            <w:r w:rsidRPr="00CD16C9">
              <w:t>In</w:t>
            </w:r>
            <w:r w:rsidRPr="00CD16C9">
              <w:rPr>
                <w:spacing w:val="-1"/>
              </w:rPr>
              <w:t xml:space="preserve"> </w:t>
            </w:r>
            <w:r w:rsidRPr="00CD16C9">
              <w:rPr>
                <w:spacing w:val="-4"/>
              </w:rPr>
              <w:t>202</w:t>
            </w:r>
            <w:r w:rsidR="64B0F162" w:rsidRPr="00CD16C9">
              <w:rPr>
                <w:spacing w:val="-4"/>
              </w:rPr>
              <w:t>4</w:t>
            </w:r>
          </w:p>
        </w:tc>
      </w:tr>
      <w:tr w:rsidR="003C0139" w:rsidRPr="00CD16C9" w14:paraId="573A3D3F" w14:textId="77777777" w:rsidTr="33070B38">
        <w:trPr>
          <w:trHeight w:val="253"/>
        </w:trPr>
        <w:tc>
          <w:tcPr>
            <w:tcW w:w="9214" w:type="dxa"/>
          </w:tcPr>
          <w:p w14:paraId="573A3D3E" w14:textId="77777777" w:rsidR="003C0139" w:rsidRPr="00CD16C9" w:rsidRDefault="003B5A83">
            <w:pPr>
              <w:pStyle w:val="TableParagraph"/>
              <w:spacing w:before="2"/>
            </w:pPr>
            <w:r w:rsidRPr="00CD16C9">
              <w:rPr>
                <w:color w:val="000000"/>
                <w:shd w:val="clear" w:color="auto" w:fill="FFFF00"/>
              </w:rPr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  <w:tr w:rsidR="003C0139" w:rsidRPr="00CD16C9" w14:paraId="573A3D41" w14:textId="77777777" w:rsidTr="33070B38">
        <w:trPr>
          <w:trHeight w:val="251"/>
        </w:trPr>
        <w:tc>
          <w:tcPr>
            <w:tcW w:w="9214" w:type="dxa"/>
          </w:tcPr>
          <w:p w14:paraId="573A3D40" w14:textId="3E1C6B71" w:rsidR="003C0139" w:rsidRPr="00CD16C9" w:rsidRDefault="003B5A83">
            <w:pPr>
              <w:pStyle w:val="TableParagraph"/>
            </w:pPr>
            <w:r w:rsidRPr="00CD16C9">
              <w:t>In</w:t>
            </w:r>
            <w:r w:rsidRPr="00CD16C9">
              <w:rPr>
                <w:spacing w:val="-1"/>
              </w:rPr>
              <w:t xml:space="preserve"> </w:t>
            </w:r>
            <w:r w:rsidRPr="00CD16C9">
              <w:rPr>
                <w:spacing w:val="-4"/>
              </w:rPr>
              <w:t>202</w:t>
            </w:r>
            <w:r w:rsidR="4B83D958" w:rsidRPr="00CD16C9">
              <w:rPr>
                <w:spacing w:val="-4"/>
              </w:rPr>
              <w:t>5</w:t>
            </w:r>
          </w:p>
        </w:tc>
      </w:tr>
      <w:tr w:rsidR="003C0139" w:rsidRPr="00CD16C9" w14:paraId="573A3D43" w14:textId="77777777" w:rsidTr="33070B38">
        <w:trPr>
          <w:trHeight w:val="253"/>
        </w:trPr>
        <w:tc>
          <w:tcPr>
            <w:tcW w:w="9214" w:type="dxa"/>
          </w:tcPr>
          <w:p w14:paraId="573A3D42" w14:textId="77777777" w:rsidR="003C0139" w:rsidRPr="00CD16C9" w:rsidRDefault="003B5A83">
            <w:pPr>
              <w:pStyle w:val="TableParagraph"/>
              <w:spacing w:line="234" w:lineRule="exact"/>
            </w:pPr>
            <w:r w:rsidRPr="00CD16C9">
              <w:rPr>
                <w:color w:val="000000"/>
                <w:shd w:val="clear" w:color="auto" w:fill="FFFF00"/>
              </w:rPr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</w:tbl>
    <w:p w14:paraId="573A3D44" w14:textId="77777777" w:rsidR="003C0139" w:rsidRPr="00CD16C9" w:rsidRDefault="003C0139">
      <w:pPr>
        <w:pStyle w:val="Textkrper"/>
        <w:spacing w:before="2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46" w14:textId="77777777" w:rsidTr="33070B38">
        <w:trPr>
          <w:trHeight w:val="251"/>
        </w:trPr>
        <w:tc>
          <w:tcPr>
            <w:tcW w:w="9214" w:type="dxa"/>
          </w:tcPr>
          <w:p w14:paraId="573A3D45" w14:textId="1D3D1301" w:rsidR="003C0139" w:rsidRPr="00CD16C9" w:rsidRDefault="003B5A83" w:rsidP="769C7F23">
            <w:pPr>
              <w:pStyle w:val="TableParagraph"/>
              <w:rPr>
                <w:b/>
                <w:bCs/>
              </w:rPr>
            </w:pPr>
            <w:proofErr w:type="spellStart"/>
            <w:r w:rsidRPr="00CD16C9">
              <w:rPr>
                <w:b/>
                <w:bCs/>
              </w:rPr>
              <w:t>Wieviele</w:t>
            </w:r>
            <w:proofErr w:type="spellEnd"/>
            <w:r w:rsidRPr="00CD16C9">
              <w:rPr>
                <w:b/>
                <w:bCs/>
                <w:spacing w:val="-5"/>
              </w:rPr>
              <w:t xml:space="preserve"> </w:t>
            </w:r>
            <w:r w:rsidRPr="00CD16C9">
              <w:rPr>
                <w:b/>
                <w:bCs/>
              </w:rPr>
              <w:t>Patienten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planen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Sie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im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Jahr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202</w:t>
            </w:r>
            <w:r w:rsidR="4B8C26CF" w:rsidRPr="00CD16C9">
              <w:rPr>
                <w:b/>
                <w:bCs/>
              </w:rPr>
              <w:t>6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mit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dieser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Methode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zu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  <w:spacing w:val="-2"/>
              </w:rPr>
              <w:t>behandeln?</w:t>
            </w:r>
          </w:p>
        </w:tc>
      </w:tr>
      <w:tr w:rsidR="003C0139" w:rsidRPr="00CD16C9" w14:paraId="573A3D48" w14:textId="77777777" w:rsidTr="33070B38">
        <w:trPr>
          <w:trHeight w:val="254"/>
        </w:trPr>
        <w:tc>
          <w:tcPr>
            <w:tcW w:w="9214" w:type="dxa"/>
          </w:tcPr>
          <w:p w14:paraId="573A3D47" w14:textId="77777777" w:rsidR="003C0139" w:rsidRPr="00CD16C9" w:rsidRDefault="003B5A83">
            <w:pPr>
              <w:pStyle w:val="TableParagraph"/>
              <w:spacing w:line="234" w:lineRule="exact"/>
            </w:pPr>
            <w:r w:rsidRPr="00CD16C9">
              <w:rPr>
                <w:color w:val="000000"/>
                <w:shd w:val="clear" w:color="auto" w:fill="FFFF00"/>
              </w:rPr>
              <w:lastRenderedPageBreak/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</w:tbl>
    <w:p w14:paraId="573A3D49" w14:textId="77777777" w:rsidR="003C0139" w:rsidRPr="00CD16C9" w:rsidRDefault="003C0139">
      <w:pPr>
        <w:pStyle w:val="Textkrper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4B" w14:textId="77777777" w:rsidTr="24265074">
        <w:trPr>
          <w:trHeight w:val="503"/>
        </w:trPr>
        <w:tc>
          <w:tcPr>
            <w:tcW w:w="9214" w:type="dxa"/>
          </w:tcPr>
          <w:p w14:paraId="573A3D4A" w14:textId="77777777" w:rsidR="003C0139" w:rsidRPr="00CD16C9" w:rsidRDefault="003B5A83">
            <w:pPr>
              <w:pStyle w:val="TableParagraph"/>
              <w:spacing w:line="252" w:lineRule="exact"/>
              <w:ind w:right="185"/>
              <w:rPr>
                <w:b/>
              </w:rPr>
            </w:pPr>
            <w:r w:rsidRPr="00CD16C9">
              <w:rPr>
                <w:b/>
              </w:rPr>
              <w:t>Entstehen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durch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die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neue</w:t>
            </w:r>
            <w:r w:rsidRPr="00CD16C9">
              <w:rPr>
                <w:b/>
                <w:spacing w:val="-2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2"/>
              </w:rPr>
              <w:t xml:space="preserve"> </w:t>
            </w:r>
            <w:r w:rsidRPr="00CD16C9">
              <w:rPr>
                <w:b/>
              </w:rPr>
              <w:t>Mehrkosten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gegenüber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dem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bisher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üblichen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Verfahren?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Wenn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ja, wodurch? In welcher Höhe (möglichst aufgetrennt nach Personal- und Sachkosten)?</w:t>
            </w:r>
          </w:p>
        </w:tc>
      </w:tr>
      <w:tr w:rsidR="003C0139" w:rsidRPr="00CD16C9" w14:paraId="573A3D4E" w14:textId="77777777" w:rsidTr="24265074">
        <w:trPr>
          <w:trHeight w:val="758"/>
        </w:trPr>
        <w:tc>
          <w:tcPr>
            <w:tcW w:w="9214" w:type="dxa"/>
          </w:tcPr>
          <w:p w14:paraId="573A3D4C" w14:textId="77777777" w:rsidR="003C0139" w:rsidRPr="00CD16C9" w:rsidRDefault="003B5A83">
            <w:pPr>
              <w:pStyle w:val="TableParagraph"/>
              <w:spacing w:before="2" w:line="252" w:lineRule="exact"/>
              <w:rPr>
                <w:b/>
              </w:rPr>
            </w:pPr>
            <w:r w:rsidRPr="00CD16C9">
              <w:rPr>
                <w:b/>
                <w:spacing w:val="-2"/>
              </w:rPr>
              <w:t>Sachkosten</w:t>
            </w:r>
          </w:p>
          <w:p w14:paraId="17621B8C" w14:textId="77777777" w:rsidR="00943819" w:rsidRDefault="00943819" w:rsidP="00323709">
            <w:pPr>
              <w:pStyle w:val="TableParagraph"/>
              <w:spacing w:line="252" w:lineRule="exact"/>
              <w:ind w:right="185"/>
            </w:pPr>
          </w:p>
          <w:p w14:paraId="3342C547" w14:textId="7452610D" w:rsidR="006570E2" w:rsidRDefault="00EC52BC" w:rsidP="00323709">
            <w:pPr>
              <w:pStyle w:val="TableParagraph"/>
              <w:spacing w:line="252" w:lineRule="exact"/>
              <w:ind w:right="185"/>
            </w:pPr>
            <w:r>
              <w:t xml:space="preserve">Der Preis </w:t>
            </w:r>
            <w:r w:rsidR="0048406E" w:rsidRPr="00CD16C9">
              <w:t xml:space="preserve">von </w:t>
            </w:r>
            <w:proofErr w:type="spellStart"/>
            <w:r w:rsidR="0048406E" w:rsidRPr="00CD16C9">
              <w:t>Clesrovimab</w:t>
            </w:r>
            <w:proofErr w:type="spellEnd"/>
            <w:r w:rsidR="0048406E" w:rsidRPr="00CD16C9">
              <w:t xml:space="preserve"> </w:t>
            </w:r>
            <w:r>
              <w:t>ist</w:t>
            </w:r>
            <w:r w:rsidR="0048406E" w:rsidRPr="00CD16C9">
              <w:t xml:space="preserve"> noch nicht bekannt</w:t>
            </w:r>
            <w:r w:rsidR="00A47B7B" w:rsidRPr="00CD16C9">
              <w:t>.</w:t>
            </w:r>
            <w:r w:rsidR="006570E2">
              <w:t xml:space="preserve"> </w:t>
            </w:r>
            <w:r w:rsidR="00A47B7B" w:rsidRPr="00CD16C9">
              <w:t xml:space="preserve">Es ist jedoch zu erwarten, dass die Kosten von </w:t>
            </w:r>
            <w:proofErr w:type="spellStart"/>
            <w:r w:rsidR="00A47B7B" w:rsidRPr="00CD16C9">
              <w:t>Clesrovimab</w:t>
            </w:r>
            <w:proofErr w:type="spellEnd"/>
            <w:r w:rsidR="00A47B7B" w:rsidRPr="00CD16C9">
              <w:t xml:space="preserve"> </w:t>
            </w:r>
            <w:r w:rsidR="006570E2">
              <w:t>in der Größenordnung anderer monoklonaler Antikörper zur passiven Immunisierung von Neugeborenen und Säuglingen gegen RSV liegen werden:</w:t>
            </w:r>
          </w:p>
          <w:p w14:paraId="55361D75" w14:textId="78E63E78" w:rsidR="00EC52BC" w:rsidRDefault="00EC52BC" w:rsidP="00EC52BC">
            <w:pPr>
              <w:pStyle w:val="TableParagraph"/>
              <w:numPr>
                <w:ilvl w:val="0"/>
                <w:numId w:val="6"/>
              </w:numPr>
              <w:spacing w:line="252" w:lineRule="exact"/>
              <w:ind w:right="185"/>
            </w:pPr>
            <w:bookmarkStart w:id="0" w:name="_Hlk204958168"/>
            <w:proofErr w:type="spellStart"/>
            <w:r>
              <w:t>Nirsevimab</w:t>
            </w:r>
            <w:bookmarkEnd w:id="0"/>
            <w:proofErr w:type="spellEnd"/>
            <w:r>
              <w:t xml:space="preserve">: Dosierung pro Gabe beträgt </w:t>
            </w:r>
            <w:r w:rsidR="00A20838">
              <w:t xml:space="preserve">gewichtsabhängig </w:t>
            </w:r>
            <w:r>
              <w:t xml:space="preserve">zwischen 1 x 50 mg und 1 x 100 mg, die entsprechenden Kosten pro Gabe liegen bei 416,50 € </w:t>
            </w:r>
            <w:r w:rsidRPr="00CD16C9">
              <w:t xml:space="preserve">(KHAEP zzgl. </w:t>
            </w:r>
            <w:proofErr w:type="spellStart"/>
            <w:r w:rsidRPr="00CD16C9">
              <w:t>MWSt</w:t>
            </w:r>
            <w:proofErr w:type="spellEnd"/>
            <w:r w:rsidR="00497EFA">
              <w:t>, Lauer Taxe Stand 15. Juli 2025</w:t>
            </w:r>
            <w:r w:rsidRPr="00CD16C9">
              <w:t>).</w:t>
            </w:r>
          </w:p>
          <w:p w14:paraId="73222527" w14:textId="412F7044" w:rsidR="006570E2" w:rsidRDefault="006570E2" w:rsidP="00A20838">
            <w:pPr>
              <w:pStyle w:val="TableParagraph"/>
              <w:numPr>
                <w:ilvl w:val="0"/>
                <w:numId w:val="6"/>
              </w:numPr>
              <w:spacing w:line="252" w:lineRule="exact"/>
              <w:ind w:right="185"/>
            </w:pPr>
            <w:proofErr w:type="spellStart"/>
            <w:r w:rsidRPr="006570E2">
              <w:t>Palivizumab</w:t>
            </w:r>
            <w:proofErr w:type="spellEnd"/>
            <w:r>
              <w:t xml:space="preserve">: Dosierung pro Gabe </w:t>
            </w:r>
            <w:r w:rsidR="00B42F2D">
              <w:t>beträgt</w:t>
            </w:r>
            <w:r>
              <w:t xml:space="preserve"> </w:t>
            </w:r>
            <w:r w:rsidR="00A20838">
              <w:t xml:space="preserve">gewichtsabhängig </w:t>
            </w:r>
            <w:r>
              <w:t>zwischen 1 x 50 mg und 2 x 100 mg</w:t>
            </w:r>
            <w:r w:rsidR="00B42F2D">
              <w:t>, die entsprechenden Kosten pro Gabe liegen zwischen 767,69 € und 2.638,83 €</w:t>
            </w:r>
            <w:r w:rsidR="00EC52BC">
              <w:t xml:space="preserve"> </w:t>
            </w:r>
            <w:r w:rsidR="00EC52BC" w:rsidRPr="00CD16C9">
              <w:t xml:space="preserve">(KHAEP zzgl. </w:t>
            </w:r>
            <w:proofErr w:type="spellStart"/>
            <w:r w:rsidR="00EC52BC" w:rsidRPr="00CD16C9">
              <w:t>MWSt</w:t>
            </w:r>
            <w:proofErr w:type="spellEnd"/>
            <w:r w:rsidR="00497EFA">
              <w:t xml:space="preserve"> Lauer Taxe Stand 15. Juli 2025</w:t>
            </w:r>
            <w:r w:rsidR="00EC52BC" w:rsidRPr="00CD16C9">
              <w:t>).</w:t>
            </w:r>
            <w:r w:rsidR="00A20838">
              <w:t xml:space="preserve"> </w:t>
            </w:r>
            <w:r w:rsidR="00045F34" w:rsidRPr="00045F34">
              <w:t xml:space="preserve">Die empfohlene Dosierung beträgt 15 mg </w:t>
            </w:r>
            <w:proofErr w:type="spellStart"/>
            <w:r w:rsidR="00045F34" w:rsidRPr="00045F34">
              <w:t>Palivizumab</w:t>
            </w:r>
            <w:proofErr w:type="spellEnd"/>
            <w:r w:rsidR="00045F34" w:rsidRPr="00045F34">
              <w:t>/kg Körpergewicht (KG)</w:t>
            </w:r>
            <w:r w:rsidR="00A20838">
              <w:t xml:space="preserve"> 1 x monatlich</w:t>
            </w:r>
            <w:r w:rsidR="00045F34" w:rsidRPr="00045F34">
              <w:t xml:space="preserve">. Die meiste Erfahrung mit </w:t>
            </w:r>
            <w:proofErr w:type="spellStart"/>
            <w:r w:rsidR="00045F34" w:rsidRPr="00045F34">
              <w:t>Palivizumab</w:t>
            </w:r>
            <w:proofErr w:type="spellEnd"/>
            <w:r w:rsidR="00045F34" w:rsidRPr="00045F34">
              <w:t xml:space="preserve"> wurde mit 5 Injektionen während einer Saison gesammelt</w:t>
            </w:r>
            <w:r w:rsidR="00A20838">
              <w:t>.</w:t>
            </w:r>
          </w:p>
          <w:p w14:paraId="163AD4ED" w14:textId="77777777" w:rsidR="00943819" w:rsidRPr="00943819" w:rsidRDefault="00943819" w:rsidP="00EC52BC">
            <w:pPr>
              <w:pStyle w:val="TableParagraph"/>
              <w:spacing w:line="252" w:lineRule="exact"/>
              <w:ind w:left="0" w:right="185"/>
            </w:pPr>
          </w:p>
          <w:p w14:paraId="5CD350EE" w14:textId="6889C9E9" w:rsidR="006570E2" w:rsidRDefault="00867D65" w:rsidP="00EC52BC">
            <w:pPr>
              <w:pStyle w:val="TableParagraph"/>
              <w:spacing w:line="252" w:lineRule="exact"/>
              <w:ind w:left="0" w:right="185"/>
            </w:pPr>
            <w:r>
              <w:t xml:space="preserve">Sobald der Preis für </w:t>
            </w:r>
            <w:proofErr w:type="spellStart"/>
            <w:r w:rsidRPr="00CD16C9">
              <w:t>Clesrovimab</w:t>
            </w:r>
            <w:proofErr w:type="spellEnd"/>
            <w:r>
              <w:t xml:space="preserve"> nach Zulassung bekannt ist, wird das </w:t>
            </w:r>
            <w:proofErr w:type="spellStart"/>
            <w:r>
              <w:t>InEK</w:t>
            </w:r>
            <w:proofErr w:type="spellEnd"/>
            <w:r>
              <w:t xml:space="preserve"> entsprechend informiert werden.</w:t>
            </w:r>
          </w:p>
          <w:p w14:paraId="757B3779" w14:textId="77777777" w:rsidR="00867D65" w:rsidRDefault="00867D65" w:rsidP="00EC52BC">
            <w:pPr>
              <w:pStyle w:val="TableParagraph"/>
              <w:spacing w:line="252" w:lineRule="exact"/>
              <w:ind w:left="0" w:right="185"/>
            </w:pPr>
          </w:p>
          <w:p w14:paraId="79643BFC" w14:textId="77777777" w:rsidR="003C0139" w:rsidRPr="00CD16C9" w:rsidRDefault="0425BBA7" w:rsidP="24265074">
            <w:pPr>
              <w:pStyle w:val="TableParagraph"/>
              <w:spacing w:line="252" w:lineRule="exact"/>
              <w:rPr>
                <w:b/>
                <w:bCs/>
              </w:rPr>
            </w:pPr>
            <w:r w:rsidRPr="00CD16C9">
              <w:rPr>
                <w:b/>
                <w:bCs/>
              </w:rPr>
              <w:t>Personalkosten</w:t>
            </w:r>
          </w:p>
          <w:p w14:paraId="573A3D4D" w14:textId="2ECA4A1B" w:rsidR="003C0139" w:rsidRPr="00CD16C9" w:rsidRDefault="00A47B7B">
            <w:pPr>
              <w:pStyle w:val="TableParagraph"/>
              <w:spacing w:line="252" w:lineRule="exact"/>
              <w:ind w:right="185"/>
            </w:pPr>
            <w:r w:rsidRPr="00CD16C9">
              <w:t>Vernachlässigbar</w:t>
            </w:r>
          </w:p>
        </w:tc>
      </w:tr>
    </w:tbl>
    <w:p w14:paraId="573A3D60" w14:textId="78C91078" w:rsidR="003C0139" w:rsidRPr="00CD16C9" w:rsidRDefault="003C0139" w:rsidP="24265074">
      <w:pPr>
        <w:pStyle w:val="Textkrper"/>
        <w:spacing w:before="11"/>
        <w:rPr>
          <w:rFonts w:ascii="Times New Roman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62" w14:textId="77777777" w:rsidTr="24265074">
        <w:trPr>
          <w:trHeight w:val="251"/>
        </w:trPr>
        <w:tc>
          <w:tcPr>
            <w:tcW w:w="9214" w:type="dxa"/>
          </w:tcPr>
          <w:p w14:paraId="573A3D61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Welche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DRG(s)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ist/sind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am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häufigsten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von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dieser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  <w:spacing w:val="-2"/>
              </w:rPr>
              <w:t>betroffen?</w:t>
            </w:r>
          </w:p>
        </w:tc>
      </w:tr>
      <w:tr w:rsidR="003C0139" w:rsidRPr="009035ED" w14:paraId="573A3D65" w14:textId="77777777" w:rsidTr="001521A6">
        <w:trPr>
          <w:trHeight w:val="680"/>
        </w:trPr>
        <w:tc>
          <w:tcPr>
            <w:tcW w:w="9214" w:type="dxa"/>
          </w:tcPr>
          <w:p w14:paraId="64161AF9" w14:textId="2BBCA605" w:rsidR="009035ED" w:rsidRPr="00BB31CB" w:rsidRDefault="009035ED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>O60D</w:t>
            </w:r>
          </w:p>
          <w:p w14:paraId="7D673252" w14:textId="624F6668" w:rsidR="00404D5B" w:rsidRPr="00BB31CB" w:rsidRDefault="008D437F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P67E </w:t>
            </w:r>
          </w:p>
          <w:p w14:paraId="6B296890" w14:textId="77777777" w:rsidR="00404D5B" w:rsidRPr="00BB31CB" w:rsidRDefault="00404D5B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P67D </w:t>
            </w:r>
          </w:p>
          <w:p w14:paraId="5EAD4F80" w14:textId="1B188737" w:rsidR="00404D5B" w:rsidRPr="00BB31CB" w:rsidRDefault="008D437F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P67C </w:t>
            </w:r>
          </w:p>
          <w:p w14:paraId="2B779104" w14:textId="28A383B8" w:rsidR="00404D5B" w:rsidRPr="00BB31CB" w:rsidRDefault="008D437F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P67B </w:t>
            </w:r>
          </w:p>
          <w:p w14:paraId="573A3D64" w14:textId="3E29D38B" w:rsidR="0006028C" w:rsidRPr="00BB31CB" w:rsidRDefault="008D437F" w:rsidP="005B57D3">
            <w:pPr>
              <w:pStyle w:val="TableParagraph"/>
              <w:spacing w:before="1"/>
              <w:jc w:val="both"/>
              <w:rPr>
                <w:lang w:val="en-US"/>
              </w:rPr>
            </w:pPr>
            <w:r w:rsidRPr="00CD16C9">
              <w:rPr>
                <w:rFonts w:eastAsia="Times New Roman" w:cs="Times New Roman"/>
                <w:szCs w:val="24"/>
                <w:lang w:val="en-US" w:eastAsia="de-DE"/>
              </w:rPr>
              <w:t>P67A</w:t>
            </w:r>
          </w:p>
        </w:tc>
      </w:tr>
    </w:tbl>
    <w:p w14:paraId="573A3D66" w14:textId="77777777" w:rsidR="003C0139" w:rsidRPr="00BB31CB" w:rsidRDefault="003C0139">
      <w:pPr>
        <w:pStyle w:val="Textkrper"/>
        <w:rPr>
          <w:rFonts w:ascii="Times New Roman"/>
          <w:sz w:val="24"/>
          <w:lang w:val="en-US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68" w14:textId="77777777" w:rsidTr="6CCE95A1">
        <w:trPr>
          <w:trHeight w:val="251"/>
        </w:trPr>
        <w:tc>
          <w:tcPr>
            <w:tcW w:w="9214" w:type="dxa"/>
          </w:tcPr>
          <w:p w14:paraId="573A3D67" w14:textId="77777777" w:rsidR="003C013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Warum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ist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diese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aus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Ihrer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Sicht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derzeit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im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G-DRG-System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nicht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sachgerecht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  <w:spacing w:val="-2"/>
              </w:rPr>
              <w:t>abgebildet?</w:t>
            </w:r>
          </w:p>
        </w:tc>
      </w:tr>
      <w:tr w:rsidR="003C0139" w14:paraId="573A3D6E" w14:textId="77777777" w:rsidTr="6CCE95A1">
        <w:trPr>
          <w:trHeight w:val="1757"/>
        </w:trPr>
        <w:tc>
          <w:tcPr>
            <w:tcW w:w="9214" w:type="dxa"/>
          </w:tcPr>
          <w:p w14:paraId="44D2B84A" w14:textId="09240C3A" w:rsidR="0048406E" w:rsidRDefault="002D1BCD" w:rsidP="002B5966">
            <w:pPr>
              <w:pStyle w:val="TableParagraph"/>
              <w:spacing w:line="252" w:lineRule="exact"/>
              <w:ind w:right="185"/>
            </w:pPr>
            <w:r>
              <w:t xml:space="preserve">Da </w:t>
            </w:r>
            <w:bookmarkStart w:id="1" w:name="_Hlk204958656"/>
            <w:proofErr w:type="spellStart"/>
            <w:r>
              <w:t>Clesrovimab</w:t>
            </w:r>
            <w:proofErr w:type="spellEnd"/>
            <w:r>
              <w:t xml:space="preserve"> </w:t>
            </w:r>
            <w:bookmarkEnd w:id="1"/>
            <w:r>
              <w:t xml:space="preserve">bisher in Deutschland noch nicht zugelassen ist, können dem </w:t>
            </w:r>
            <w:proofErr w:type="spellStart"/>
            <w:r>
              <w:t>InEK</w:t>
            </w:r>
            <w:proofErr w:type="spellEnd"/>
            <w:r>
              <w:t xml:space="preserve"> noch keine Daten zu den Kosten und zur Zuordnung zu bestimmten DRGs im stationären Einsatz vorliegen.</w:t>
            </w:r>
          </w:p>
          <w:p w14:paraId="5A0125B8" w14:textId="77777777" w:rsidR="002D1BCD" w:rsidRDefault="002D1BCD" w:rsidP="002B5966">
            <w:pPr>
              <w:pStyle w:val="TableParagraph"/>
              <w:spacing w:line="252" w:lineRule="exact"/>
              <w:ind w:right="185"/>
            </w:pPr>
          </w:p>
          <w:p w14:paraId="1EC55FA7" w14:textId="77777777" w:rsidR="00404D5B" w:rsidRDefault="002D1BCD" w:rsidP="00404D5B">
            <w:pPr>
              <w:pStyle w:val="TableParagraph"/>
              <w:spacing w:line="252" w:lineRule="exact"/>
              <w:ind w:right="185"/>
            </w:pPr>
            <w:r>
              <w:t xml:space="preserve">Die erwarteten zusätzlichen Kosten pro </w:t>
            </w:r>
            <w:r w:rsidR="00B73771">
              <w:t>Einmal-</w:t>
            </w:r>
            <w:r>
              <w:t xml:space="preserve">Gabe </w:t>
            </w:r>
            <w:r w:rsidR="00B73771">
              <w:t xml:space="preserve">von </w:t>
            </w:r>
            <w:proofErr w:type="spellStart"/>
            <w:r>
              <w:t>Clesrovimab</w:t>
            </w:r>
            <w:proofErr w:type="spellEnd"/>
            <w:r w:rsidR="00497EFA">
              <w:t>, die in der Größenordnung anderer monoklonaler Antikörper zur passiven Immunisierung von Neugeborenen und Säuglingen gegen RSV liegen dürften,</w:t>
            </w:r>
            <w:r>
              <w:t xml:space="preserve"> </w:t>
            </w:r>
            <w:r w:rsidR="00DC1730">
              <w:t xml:space="preserve">sind mit </w:t>
            </w:r>
            <w:r>
              <w:t>den o.g. Fallpauschalen allein nicht abgebildet, so dass es zu einer Unterfinanzierung in den betroffenen DRGs kommt.</w:t>
            </w:r>
          </w:p>
          <w:p w14:paraId="14F3404B" w14:textId="6F6A59FF" w:rsidR="00404D5B" w:rsidRDefault="00404D5B" w:rsidP="00404D5B">
            <w:pPr>
              <w:pStyle w:val="TableParagraph"/>
              <w:spacing w:line="252" w:lineRule="exact"/>
              <w:ind w:right="185"/>
            </w:pPr>
          </w:p>
          <w:p w14:paraId="52F640AE" w14:textId="431AEAD5" w:rsidR="00404D5B" w:rsidRDefault="00404D5B" w:rsidP="00404D5B">
            <w:pPr>
              <w:pStyle w:val="TableParagraph"/>
              <w:spacing w:line="252" w:lineRule="exact"/>
              <w:ind w:right="185"/>
            </w:pPr>
            <w:r>
              <w:t xml:space="preserve">Dem wurde </w:t>
            </w:r>
            <w:r w:rsidR="008E4B43">
              <w:t xml:space="preserve">in Folge der </w:t>
            </w:r>
            <w:r w:rsidR="008E4B43" w:rsidRPr="008E4B43">
              <w:t xml:space="preserve">STIKO Empfehlung </w:t>
            </w:r>
            <w:r w:rsidR="00F12027">
              <w:t xml:space="preserve">für </w:t>
            </w:r>
            <w:proofErr w:type="spellStart"/>
            <w:r w:rsidR="008E4B43" w:rsidRPr="008E4B43">
              <w:t>Nirsevimab</w:t>
            </w:r>
            <w:proofErr w:type="spellEnd"/>
            <w:r w:rsidR="008E4B43">
              <w:t xml:space="preserve"> sowie der </w:t>
            </w:r>
            <w:r w:rsidR="008E4B43" w:rsidRPr="008E4B43">
              <w:t>Rechtsverordnung</w:t>
            </w:r>
            <w:r w:rsidR="008E4B43">
              <w:t xml:space="preserve"> </w:t>
            </w:r>
            <w:r w:rsidR="008E4B43" w:rsidRPr="00BB31CB">
              <w:t>„RSV-</w:t>
            </w:r>
            <w:proofErr w:type="spellStart"/>
            <w:r w:rsidR="008E4B43" w:rsidRPr="00BB31CB">
              <w:t>Prophylaxeverordnung</w:t>
            </w:r>
            <w:proofErr w:type="spellEnd"/>
            <w:r w:rsidR="008E4B43" w:rsidRPr="00BB31CB">
              <w:t>“</w:t>
            </w:r>
            <w:r w:rsidR="008E4B43">
              <w:t xml:space="preserve"> </w:t>
            </w:r>
            <w:r>
              <w:t xml:space="preserve">durch eine Vereinbarung der </w:t>
            </w:r>
            <w:r w:rsidRPr="00D46BA8">
              <w:t xml:space="preserve">Vertragsparteien auf Bundesebene am 26. September 2024 </w:t>
            </w:r>
            <w:r>
              <w:t>zur</w:t>
            </w:r>
            <w:r w:rsidRPr="00D46BA8">
              <w:t xml:space="preserve"> Vergütung des Arzneimittels </w:t>
            </w:r>
            <w:proofErr w:type="spellStart"/>
            <w:r w:rsidRPr="00D46BA8">
              <w:t>Nirsevimab</w:t>
            </w:r>
            <w:proofErr w:type="spellEnd"/>
            <w:r w:rsidRPr="00D46BA8">
              <w:t xml:space="preserve"> </w:t>
            </w:r>
            <w:r>
              <w:t xml:space="preserve">Rechnung getragen und </w:t>
            </w:r>
            <w:r w:rsidRPr="00D46BA8">
              <w:t>im Fallpauschalen-Katalog 2024 das Zusatzentgelt ZE176 eingefügt.</w:t>
            </w:r>
            <w:r>
              <w:t xml:space="preserve"> </w:t>
            </w:r>
          </w:p>
          <w:p w14:paraId="4D9EB4D2" w14:textId="77777777" w:rsidR="008E4B43" w:rsidRDefault="008E4B43" w:rsidP="00404D5B">
            <w:pPr>
              <w:pStyle w:val="TableParagraph"/>
              <w:spacing w:line="252" w:lineRule="exact"/>
              <w:ind w:right="185"/>
            </w:pPr>
          </w:p>
          <w:p w14:paraId="72B67DD6" w14:textId="3AB05F63" w:rsidR="00404D5B" w:rsidRDefault="00404D5B" w:rsidP="00404D5B">
            <w:pPr>
              <w:pStyle w:val="TableParagraph"/>
              <w:spacing w:line="252" w:lineRule="exact"/>
              <w:ind w:right="185"/>
            </w:pPr>
            <w:r>
              <w:t xml:space="preserve">Für </w:t>
            </w:r>
            <w:proofErr w:type="spellStart"/>
            <w:r w:rsidRPr="006570E2">
              <w:t>Palivizumab</w:t>
            </w:r>
            <w:proofErr w:type="spellEnd"/>
            <w:r>
              <w:t xml:space="preserve"> existiert bereits seit 2009 das Zusatzentgelt </w:t>
            </w:r>
            <w:r w:rsidRPr="00045F34">
              <w:t>ZE98</w:t>
            </w:r>
            <w:r w:rsidR="008E4B43">
              <w:t>.</w:t>
            </w:r>
          </w:p>
          <w:p w14:paraId="70721B83" w14:textId="77777777" w:rsidR="008E4B43" w:rsidRDefault="008E4B43" w:rsidP="00404D5B">
            <w:pPr>
              <w:pStyle w:val="TableParagraph"/>
              <w:spacing w:line="252" w:lineRule="exact"/>
              <w:ind w:right="185"/>
            </w:pPr>
          </w:p>
          <w:p w14:paraId="573A3D6D" w14:textId="1AA1A4E5" w:rsidR="00A34743" w:rsidRDefault="008E4B43" w:rsidP="008E4B43">
            <w:pPr>
              <w:pStyle w:val="TableParagraph"/>
              <w:spacing w:line="252" w:lineRule="exact"/>
              <w:ind w:right="185"/>
            </w:pPr>
            <w:r>
              <w:t xml:space="preserve">Konsequenterweise ist für </w:t>
            </w:r>
            <w:proofErr w:type="spellStart"/>
            <w:r>
              <w:t>Clesrovimab</w:t>
            </w:r>
            <w:proofErr w:type="spellEnd"/>
            <w:r>
              <w:t xml:space="preserve"> NUB-Status 1 zu vergeben, um eine Gleichbehandlung mit </w:t>
            </w:r>
            <w:proofErr w:type="spellStart"/>
            <w:r w:rsidRPr="00D46BA8">
              <w:t>Nirsevimab</w:t>
            </w:r>
            <w:proofErr w:type="spellEnd"/>
            <w:r>
              <w:t xml:space="preserve"> und </w:t>
            </w:r>
            <w:proofErr w:type="spellStart"/>
            <w:r w:rsidRPr="006570E2">
              <w:t>Palivizumab</w:t>
            </w:r>
            <w:proofErr w:type="spellEnd"/>
            <w:r>
              <w:t xml:space="preserve"> zu erreichen.</w:t>
            </w:r>
          </w:p>
        </w:tc>
      </w:tr>
    </w:tbl>
    <w:p w14:paraId="573A3D6F" w14:textId="629E9E96" w:rsidR="00AF331B" w:rsidRDefault="00AF331B" w:rsidP="00C8184F"/>
    <w:sectPr w:rsidR="00AF331B" w:rsidSect="00AA7776">
      <w:headerReference w:type="default" r:id="rId21"/>
      <w:footerReference w:type="default" r:id="rId22"/>
      <w:pgSz w:w="11910" w:h="16840"/>
      <w:pgMar w:top="2552" w:right="1202" w:bottom="1843" w:left="1259" w:header="856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B870" w14:textId="77777777" w:rsidR="007F332D" w:rsidRDefault="007F332D">
      <w:r>
        <w:separator/>
      </w:r>
    </w:p>
  </w:endnote>
  <w:endnote w:type="continuationSeparator" w:id="0">
    <w:p w14:paraId="785D0ED2" w14:textId="77777777" w:rsidR="007F332D" w:rsidRDefault="007F332D">
      <w:r>
        <w:continuationSeparator/>
      </w:r>
    </w:p>
  </w:endnote>
  <w:endnote w:type="continuationNotice" w:id="1">
    <w:p w14:paraId="3A328CE2" w14:textId="77777777" w:rsidR="007F332D" w:rsidRDefault="007F3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3D70" w14:textId="315BED58" w:rsidR="003C0139" w:rsidRDefault="003135E1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3A3D73" wp14:editId="707771F6">
              <wp:simplePos x="0" y="0"/>
              <wp:positionH relativeFrom="page">
                <wp:posOffset>886460</wp:posOffset>
              </wp:positionH>
              <wp:positionV relativeFrom="page">
                <wp:posOffset>9500870</wp:posOffset>
              </wp:positionV>
              <wp:extent cx="5715635" cy="75438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635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A3D76" w14:textId="07AF2097" w:rsidR="003C0139" w:rsidRDefault="003B5A83">
                          <w:pPr>
                            <w:pStyle w:val="Textkrper"/>
                            <w:spacing w:before="19"/>
                            <w:ind w:left="20"/>
                          </w:pPr>
                          <w:r>
                            <w:rPr>
                              <w:w w:val="95"/>
                            </w:rPr>
                            <w:t>NUB-Musteranfrag</w:t>
                          </w:r>
                          <w:r w:rsidR="00E10F91">
                            <w:rPr>
                              <w:w w:val="95"/>
                            </w:rPr>
                            <w:t xml:space="preserve">e </w:t>
                          </w:r>
                          <w:proofErr w:type="spellStart"/>
                          <w:r w:rsidR="00E10F91">
                            <w:rPr>
                              <w:w w:val="95"/>
                            </w:rPr>
                            <w:t>Clesrovimab</w:t>
                          </w:r>
                          <w:proofErr w:type="spellEnd"/>
                        </w:p>
                        <w:p w14:paraId="573A3D78" w14:textId="77777777" w:rsidR="003C0139" w:rsidRDefault="003B5A83">
                          <w:pPr>
                            <w:pStyle w:val="Textkrper"/>
                            <w:spacing w:line="229" w:lineRule="exact"/>
                            <w:ind w:left="20"/>
                          </w:pPr>
                          <w:r>
                            <w:t>Seite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573A3D79" w14:textId="0BA7E74E" w:rsidR="003C0139" w:rsidRDefault="003B5A83">
                          <w:pPr>
                            <w:pStyle w:val="Textkrper"/>
                            <w:spacing w:before="1"/>
                            <w:ind w:left="20"/>
                          </w:pPr>
                          <w:r w:rsidRPr="00CD16C9">
                            <w:t>Version</w:t>
                          </w:r>
                          <w:r w:rsidRPr="00CD16C9">
                            <w:rPr>
                              <w:spacing w:val="-9"/>
                            </w:rPr>
                            <w:t xml:space="preserve"> </w:t>
                          </w:r>
                          <w:r w:rsidR="00CD16C9" w:rsidRPr="00CD16C9">
                            <w:rPr>
                              <w:spacing w:val="-9"/>
                            </w:rPr>
                            <w:t>21</w:t>
                          </w:r>
                          <w:r w:rsidR="00E10F91" w:rsidRPr="00CD16C9">
                            <w:rPr>
                              <w:spacing w:val="-9"/>
                            </w:rPr>
                            <w:t>.0</w:t>
                          </w:r>
                          <w:r w:rsidR="00CD16C9" w:rsidRPr="00CD16C9">
                            <w:rPr>
                              <w:spacing w:val="-9"/>
                            </w:rPr>
                            <w:t>7</w:t>
                          </w:r>
                          <w:r w:rsidR="00E10F91" w:rsidRPr="00CD16C9">
                            <w:rPr>
                              <w:spacing w:val="-9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A3D7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69.8pt;margin-top:748.1pt;width:450.05pt;height:5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" filled="f" stroked="f">
              <v:textbox inset="0,0,0,0">
                <w:txbxContent>
                  <w:p w14:paraId="573A3D76" w14:textId="07AF2097" w:rsidR="003C0139" w:rsidRDefault="003B5A83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w w:val="95"/>
                      </w:rPr>
                      <w:t>NUB-Musteranfrag</w:t>
                    </w:r>
                    <w:r w:rsidR="00E10F91">
                      <w:rPr>
                        <w:w w:val="95"/>
                      </w:rPr>
                      <w:t xml:space="preserve">e </w:t>
                    </w:r>
                    <w:proofErr w:type="spellStart"/>
                    <w:r w:rsidR="00E10F91">
                      <w:rPr>
                        <w:w w:val="95"/>
                      </w:rPr>
                      <w:t>Clesrovimab</w:t>
                    </w:r>
                    <w:proofErr w:type="spellEnd"/>
                  </w:p>
                  <w:p w14:paraId="573A3D78" w14:textId="77777777" w:rsidR="003C0139" w:rsidRDefault="003B5A83">
                    <w:pPr>
                      <w:pStyle w:val="BodyText"/>
                      <w:spacing w:line="229" w:lineRule="exact"/>
                      <w:ind w:left="20"/>
                    </w:pPr>
                    <w:r>
                      <w:t>Seite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573A3D79" w14:textId="0BA7E74E" w:rsidR="003C0139" w:rsidRDefault="003B5A83">
                    <w:pPr>
                      <w:pStyle w:val="BodyText"/>
                      <w:spacing w:before="1"/>
                      <w:ind w:left="20"/>
                    </w:pPr>
                    <w:r w:rsidRPr="00CD16C9">
                      <w:t>Version</w:t>
                    </w:r>
                    <w:r w:rsidRPr="00CD16C9">
                      <w:rPr>
                        <w:spacing w:val="-9"/>
                      </w:rPr>
                      <w:t xml:space="preserve"> </w:t>
                    </w:r>
                    <w:r w:rsidR="00CD16C9" w:rsidRPr="00CD16C9">
                      <w:rPr>
                        <w:spacing w:val="-9"/>
                      </w:rPr>
                      <w:t>21</w:t>
                    </w:r>
                    <w:r w:rsidR="00E10F91" w:rsidRPr="00CD16C9">
                      <w:rPr>
                        <w:spacing w:val="-9"/>
                      </w:rPr>
                      <w:t>.0</w:t>
                    </w:r>
                    <w:r w:rsidR="00CD16C9" w:rsidRPr="00CD16C9">
                      <w:rPr>
                        <w:spacing w:val="-9"/>
                      </w:rPr>
                      <w:t>7</w:t>
                    </w:r>
                    <w:r w:rsidR="00E10F91" w:rsidRPr="00CD16C9">
                      <w:rPr>
                        <w:spacing w:val="-9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C2A9" w14:textId="77777777" w:rsidR="007F332D" w:rsidRDefault="007F332D">
      <w:r>
        <w:separator/>
      </w:r>
    </w:p>
  </w:footnote>
  <w:footnote w:type="continuationSeparator" w:id="0">
    <w:p w14:paraId="62A65405" w14:textId="77777777" w:rsidR="007F332D" w:rsidRDefault="007F332D">
      <w:r>
        <w:continuationSeparator/>
      </w:r>
    </w:p>
  </w:footnote>
  <w:footnote w:type="continuationNotice" w:id="1">
    <w:p w14:paraId="62A76DD6" w14:textId="77777777" w:rsidR="007F332D" w:rsidRDefault="007F3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9FCF" w14:textId="7CC67593" w:rsidR="00055891" w:rsidRPr="00055891" w:rsidRDefault="6CCE95A1" w:rsidP="00055891">
    <w:pPr>
      <w:pStyle w:val="Kopfzeile"/>
      <w:rPr>
        <w:rFonts w:ascii="Lucida Sans Unicode" w:hAnsi="Lucida Sans Unicode" w:cs="Lucida Sans Unicode"/>
        <w:sz w:val="48"/>
        <w:szCs w:val="48"/>
      </w:rPr>
    </w:pPr>
    <w:proofErr w:type="gramStart"/>
    <w:r w:rsidRPr="6CCE95A1">
      <w:rPr>
        <w:rFonts w:ascii="Lucida Sans Unicode" w:hAnsi="Lucida Sans Unicode" w:cs="Lucida Sans Unicode"/>
        <w:sz w:val="48"/>
        <w:szCs w:val="48"/>
      </w:rPr>
      <w:t>NUB Antrag</w:t>
    </w:r>
    <w:proofErr w:type="gramEnd"/>
    <w:r w:rsidRPr="6CCE95A1">
      <w:rPr>
        <w:rFonts w:ascii="Lucida Sans Unicode" w:hAnsi="Lucida Sans Unicode" w:cs="Lucida Sans Unicode"/>
        <w:sz w:val="48"/>
        <w:szCs w:val="48"/>
      </w:rPr>
      <w:t xml:space="preserve"> 2025/2026 </w:t>
    </w:r>
  </w:p>
  <w:p w14:paraId="573A3D6F" w14:textId="2FE3ED28" w:rsidR="003C0139" w:rsidRDefault="6CCE95A1" w:rsidP="79699218">
    <w:proofErr w:type="spellStart"/>
    <w:r w:rsidRPr="6CCE95A1">
      <w:rPr>
        <w:rFonts w:ascii="Lucida Sans Unicode" w:hAnsi="Lucida Sans Unicode" w:cs="Lucida Sans Unicode"/>
        <w:sz w:val="48"/>
        <w:szCs w:val="48"/>
      </w:rPr>
      <w:t>Clesrovimab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00CB"/>
    <w:multiLevelType w:val="hybridMultilevel"/>
    <w:tmpl w:val="15AE0F52"/>
    <w:lvl w:ilvl="0" w:tplc="3F9EF7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59C8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258C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D69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1225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8C9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3429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C202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78D1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185C908"/>
    <w:multiLevelType w:val="hybridMultilevel"/>
    <w:tmpl w:val="33664B5C"/>
    <w:lvl w:ilvl="0" w:tplc="78560D14">
      <w:start w:val="1"/>
      <w:numFmt w:val="decimal"/>
      <w:lvlText w:val="%1."/>
      <w:lvlJc w:val="left"/>
      <w:pPr>
        <w:ind w:left="720" w:hanging="360"/>
      </w:pPr>
    </w:lvl>
    <w:lvl w:ilvl="1" w:tplc="193EBCD8">
      <w:start w:val="1"/>
      <w:numFmt w:val="lowerLetter"/>
      <w:lvlText w:val="%2."/>
      <w:lvlJc w:val="left"/>
      <w:pPr>
        <w:ind w:left="1440" w:hanging="360"/>
      </w:pPr>
    </w:lvl>
    <w:lvl w:ilvl="2" w:tplc="5ACCA986">
      <w:start w:val="1"/>
      <w:numFmt w:val="lowerRoman"/>
      <w:lvlText w:val="%3."/>
      <w:lvlJc w:val="right"/>
      <w:pPr>
        <w:ind w:left="2160" w:hanging="180"/>
      </w:pPr>
    </w:lvl>
    <w:lvl w:ilvl="3" w:tplc="0DE45C88">
      <w:start w:val="1"/>
      <w:numFmt w:val="decimal"/>
      <w:lvlText w:val="%4."/>
      <w:lvlJc w:val="left"/>
      <w:pPr>
        <w:ind w:left="2880" w:hanging="360"/>
      </w:pPr>
    </w:lvl>
    <w:lvl w:ilvl="4" w:tplc="2232396A">
      <w:start w:val="1"/>
      <w:numFmt w:val="lowerLetter"/>
      <w:lvlText w:val="%5."/>
      <w:lvlJc w:val="left"/>
      <w:pPr>
        <w:ind w:left="3600" w:hanging="360"/>
      </w:pPr>
    </w:lvl>
    <w:lvl w:ilvl="5" w:tplc="E53477CC">
      <w:start w:val="1"/>
      <w:numFmt w:val="lowerRoman"/>
      <w:lvlText w:val="%6."/>
      <w:lvlJc w:val="right"/>
      <w:pPr>
        <w:ind w:left="4320" w:hanging="180"/>
      </w:pPr>
    </w:lvl>
    <w:lvl w:ilvl="6" w:tplc="35F8EA50">
      <w:start w:val="1"/>
      <w:numFmt w:val="decimal"/>
      <w:lvlText w:val="%7."/>
      <w:lvlJc w:val="left"/>
      <w:pPr>
        <w:ind w:left="5040" w:hanging="360"/>
      </w:pPr>
    </w:lvl>
    <w:lvl w:ilvl="7" w:tplc="7C3C7D2E">
      <w:start w:val="1"/>
      <w:numFmt w:val="lowerLetter"/>
      <w:lvlText w:val="%8."/>
      <w:lvlJc w:val="left"/>
      <w:pPr>
        <w:ind w:left="5760" w:hanging="360"/>
      </w:pPr>
    </w:lvl>
    <w:lvl w:ilvl="8" w:tplc="EBC46C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AB90"/>
    <w:multiLevelType w:val="hybridMultilevel"/>
    <w:tmpl w:val="4C36436C"/>
    <w:lvl w:ilvl="0" w:tplc="0AACCC68">
      <w:start w:val="1"/>
      <w:numFmt w:val="decimal"/>
      <w:lvlText w:val="%1."/>
      <w:lvlJc w:val="left"/>
      <w:pPr>
        <w:ind w:left="720" w:hanging="360"/>
      </w:pPr>
    </w:lvl>
    <w:lvl w:ilvl="1" w:tplc="7034FA88">
      <w:start w:val="1"/>
      <w:numFmt w:val="lowerLetter"/>
      <w:lvlText w:val="%2."/>
      <w:lvlJc w:val="left"/>
      <w:pPr>
        <w:ind w:left="1440" w:hanging="360"/>
      </w:pPr>
    </w:lvl>
    <w:lvl w:ilvl="2" w:tplc="E1A87F58">
      <w:start w:val="1"/>
      <w:numFmt w:val="lowerRoman"/>
      <w:lvlText w:val="%3."/>
      <w:lvlJc w:val="right"/>
      <w:pPr>
        <w:ind w:left="2160" w:hanging="180"/>
      </w:pPr>
    </w:lvl>
    <w:lvl w:ilvl="3" w:tplc="BA1C7190">
      <w:start w:val="1"/>
      <w:numFmt w:val="decimal"/>
      <w:lvlText w:val="%4."/>
      <w:lvlJc w:val="left"/>
      <w:pPr>
        <w:ind w:left="2880" w:hanging="360"/>
      </w:pPr>
    </w:lvl>
    <w:lvl w:ilvl="4" w:tplc="2C529726">
      <w:start w:val="1"/>
      <w:numFmt w:val="lowerLetter"/>
      <w:lvlText w:val="%5."/>
      <w:lvlJc w:val="left"/>
      <w:pPr>
        <w:ind w:left="3600" w:hanging="360"/>
      </w:pPr>
    </w:lvl>
    <w:lvl w:ilvl="5" w:tplc="069CFBC8">
      <w:start w:val="1"/>
      <w:numFmt w:val="lowerRoman"/>
      <w:lvlText w:val="%6."/>
      <w:lvlJc w:val="right"/>
      <w:pPr>
        <w:ind w:left="4320" w:hanging="180"/>
      </w:pPr>
    </w:lvl>
    <w:lvl w:ilvl="6" w:tplc="DC542498">
      <w:start w:val="1"/>
      <w:numFmt w:val="decimal"/>
      <w:lvlText w:val="%7."/>
      <w:lvlJc w:val="left"/>
      <w:pPr>
        <w:ind w:left="5040" w:hanging="360"/>
      </w:pPr>
    </w:lvl>
    <w:lvl w:ilvl="7" w:tplc="582C028A">
      <w:start w:val="1"/>
      <w:numFmt w:val="lowerLetter"/>
      <w:lvlText w:val="%8."/>
      <w:lvlJc w:val="left"/>
      <w:pPr>
        <w:ind w:left="5760" w:hanging="360"/>
      </w:pPr>
    </w:lvl>
    <w:lvl w:ilvl="8" w:tplc="C0DC3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CD2"/>
    <w:multiLevelType w:val="hybridMultilevel"/>
    <w:tmpl w:val="73005D1A"/>
    <w:lvl w:ilvl="0" w:tplc="3852120A">
      <w:numFmt w:val="bullet"/>
      <w:lvlText w:val="-"/>
      <w:lvlJc w:val="left"/>
      <w:pPr>
        <w:ind w:left="431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1C598C9F"/>
    <w:multiLevelType w:val="hybridMultilevel"/>
    <w:tmpl w:val="45E60BF2"/>
    <w:lvl w:ilvl="0" w:tplc="9CC4AD9E">
      <w:start w:val="1"/>
      <w:numFmt w:val="decimal"/>
      <w:lvlText w:val="%1."/>
      <w:lvlJc w:val="left"/>
      <w:pPr>
        <w:ind w:left="720" w:hanging="360"/>
      </w:pPr>
    </w:lvl>
    <w:lvl w:ilvl="1" w:tplc="0AE2CB56">
      <w:start w:val="1"/>
      <w:numFmt w:val="lowerLetter"/>
      <w:lvlText w:val="%2."/>
      <w:lvlJc w:val="left"/>
      <w:pPr>
        <w:ind w:left="1440" w:hanging="360"/>
      </w:pPr>
    </w:lvl>
    <w:lvl w:ilvl="2" w:tplc="2340A996">
      <w:start w:val="1"/>
      <w:numFmt w:val="lowerRoman"/>
      <w:lvlText w:val="%3."/>
      <w:lvlJc w:val="right"/>
      <w:pPr>
        <w:ind w:left="2160" w:hanging="180"/>
      </w:pPr>
    </w:lvl>
    <w:lvl w:ilvl="3" w:tplc="83748936">
      <w:start w:val="1"/>
      <w:numFmt w:val="decimal"/>
      <w:lvlText w:val="%4."/>
      <w:lvlJc w:val="left"/>
      <w:pPr>
        <w:ind w:left="2880" w:hanging="360"/>
      </w:pPr>
    </w:lvl>
    <w:lvl w:ilvl="4" w:tplc="57360642">
      <w:start w:val="1"/>
      <w:numFmt w:val="lowerLetter"/>
      <w:lvlText w:val="%5."/>
      <w:lvlJc w:val="left"/>
      <w:pPr>
        <w:ind w:left="3600" w:hanging="360"/>
      </w:pPr>
    </w:lvl>
    <w:lvl w:ilvl="5" w:tplc="5362590C">
      <w:start w:val="1"/>
      <w:numFmt w:val="lowerRoman"/>
      <w:lvlText w:val="%6."/>
      <w:lvlJc w:val="right"/>
      <w:pPr>
        <w:ind w:left="4320" w:hanging="180"/>
      </w:pPr>
    </w:lvl>
    <w:lvl w:ilvl="6" w:tplc="AE2AED22">
      <w:start w:val="1"/>
      <w:numFmt w:val="decimal"/>
      <w:lvlText w:val="%7."/>
      <w:lvlJc w:val="left"/>
      <w:pPr>
        <w:ind w:left="5040" w:hanging="360"/>
      </w:pPr>
    </w:lvl>
    <w:lvl w:ilvl="7" w:tplc="D550FCEE">
      <w:start w:val="1"/>
      <w:numFmt w:val="lowerLetter"/>
      <w:lvlText w:val="%8."/>
      <w:lvlJc w:val="left"/>
      <w:pPr>
        <w:ind w:left="5760" w:hanging="360"/>
      </w:pPr>
    </w:lvl>
    <w:lvl w:ilvl="8" w:tplc="C7767A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1DC1"/>
    <w:multiLevelType w:val="hybridMultilevel"/>
    <w:tmpl w:val="9E082120"/>
    <w:lvl w:ilvl="0" w:tplc="93ACC1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A522CA2">
      <w:start w:val="1"/>
      <w:numFmt w:val="lowerLetter"/>
      <w:lvlText w:val="%2."/>
      <w:lvlJc w:val="left"/>
      <w:pPr>
        <w:ind w:left="1440" w:hanging="360"/>
      </w:pPr>
    </w:lvl>
    <w:lvl w:ilvl="2" w:tplc="CB5E4B92">
      <w:start w:val="1"/>
      <w:numFmt w:val="lowerRoman"/>
      <w:lvlText w:val="%3."/>
      <w:lvlJc w:val="right"/>
      <w:pPr>
        <w:ind w:left="2160" w:hanging="180"/>
      </w:pPr>
    </w:lvl>
    <w:lvl w:ilvl="3" w:tplc="B748CC6E">
      <w:start w:val="1"/>
      <w:numFmt w:val="decimal"/>
      <w:lvlText w:val="%4."/>
      <w:lvlJc w:val="left"/>
      <w:pPr>
        <w:ind w:left="2880" w:hanging="360"/>
      </w:pPr>
    </w:lvl>
    <w:lvl w:ilvl="4" w:tplc="2536101E">
      <w:start w:val="1"/>
      <w:numFmt w:val="lowerLetter"/>
      <w:lvlText w:val="%5."/>
      <w:lvlJc w:val="left"/>
      <w:pPr>
        <w:ind w:left="3600" w:hanging="360"/>
      </w:pPr>
    </w:lvl>
    <w:lvl w:ilvl="5" w:tplc="A5E8365C">
      <w:start w:val="1"/>
      <w:numFmt w:val="lowerRoman"/>
      <w:lvlText w:val="%6."/>
      <w:lvlJc w:val="right"/>
      <w:pPr>
        <w:ind w:left="4320" w:hanging="180"/>
      </w:pPr>
    </w:lvl>
    <w:lvl w:ilvl="6" w:tplc="E33E778A">
      <w:start w:val="1"/>
      <w:numFmt w:val="decimal"/>
      <w:lvlText w:val="%7."/>
      <w:lvlJc w:val="left"/>
      <w:pPr>
        <w:ind w:left="5040" w:hanging="360"/>
      </w:pPr>
    </w:lvl>
    <w:lvl w:ilvl="7" w:tplc="4B962102">
      <w:start w:val="1"/>
      <w:numFmt w:val="lowerLetter"/>
      <w:lvlText w:val="%8."/>
      <w:lvlJc w:val="left"/>
      <w:pPr>
        <w:ind w:left="5760" w:hanging="360"/>
      </w:pPr>
    </w:lvl>
    <w:lvl w:ilvl="8" w:tplc="94FC11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7130B"/>
    <w:multiLevelType w:val="hybridMultilevel"/>
    <w:tmpl w:val="9BD6D5F2"/>
    <w:lvl w:ilvl="0" w:tplc="0407000F">
      <w:start w:val="1"/>
      <w:numFmt w:val="decimal"/>
      <w:lvlText w:val="%1."/>
      <w:lvlJc w:val="left"/>
      <w:pPr>
        <w:ind w:left="840" w:hanging="360"/>
      </w:pPr>
    </w:lvl>
    <w:lvl w:ilvl="1" w:tplc="04070019" w:tentative="1">
      <w:start w:val="1"/>
      <w:numFmt w:val="lowerLetter"/>
      <w:lvlText w:val="%2."/>
      <w:lvlJc w:val="left"/>
      <w:pPr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93592576">
    <w:abstractNumId w:val="1"/>
  </w:num>
  <w:num w:numId="2" w16cid:durableId="55670593">
    <w:abstractNumId w:val="2"/>
  </w:num>
  <w:num w:numId="3" w16cid:durableId="242884292">
    <w:abstractNumId w:val="5"/>
  </w:num>
  <w:num w:numId="4" w16cid:durableId="324405057">
    <w:abstractNumId w:val="4"/>
  </w:num>
  <w:num w:numId="5" w16cid:durableId="348718332">
    <w:abstractNumId w:val="6"/>
  </w:num>
  <w:num w:numId="6" w16cid:durableId="47540017">
    <w:abstractNumId w:val="3"/>
  </w:num>
  <w:num w:numId="7" w16cid:durableId="18490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39"/>
    <w:rsid w:val="000074C0"/>
    <w:rsid w:val="00012688"/>
    <w:rsid w:val="000239D2"/>
    <w:rsid w:val="00030ADA"/>
    <w:rsid w:val="000320F0"/>
    <w:rsid w:val="00035B17"/>
    <w:rsid w:val="00041DB7"/>
    <w:rsid w:val="00042E7C"/>
    <w:rsid w:val="0004464F"/>
    <w:rsid w:val="0004469C"/>
    <w:rsid w:val="00045F34"/>
    <w:rsid w:val="000461FE"/>
    <w:rsid w:val="00050F4E"/>
    <w:rsid w:val="00052677"/>
    <w:rsid w:val="00055891"/>
    <w:rsid w:val="000565D0"/>
    <w:rsid w:val="0006028C"/>
    <w:rsid w:val="00062BD4"/>
    <w:rsid w:val="00064E21"/>
    <w:rsid w:val="0007453B"/>
    <w:rsid w:val="000779A5"/>
    <w:rsid w:val="00082991"/>
    <w:rsid w:val="00090A3C"/>
    <w:rsid w:val="0009589A"/>
    <w:rsid w:val="000A2F2E"/>
    <w:rsid w:val="000A3272"/>
    <w:rsid w:val="000A3E77"/>
    <w:rsid w:val="000B34EF"/>
    <w:rsid w:val="000B6256"/>
    <w:rsid w:val="000C08C5"/>
    <w:rsid w:val="000C0D21"/>
    <w:rsid w:val="000C73C2"/>
    <w:rsid w:val="000D585A"/>
    <w:rsid w:val="000E09C0"/>
    <w:rsid w:val="000E7AE5"/>
    <w:rsid w:val="001015DC"/>
    <w:rsid w:val="00105E18"/>
    <w:rsid w:val="00107054"/>
    <w:rsid w:val="001125C4"/>
    <w:rsid w:val="00112FED"/>
    <w:rsid w:val="00114767"/>
    <w:rsid w:val="001228BF"/>
    <w:rsid w:val="00132555"/>
    <w:rsid w:val="00133405"/>
    <w:rsid w:val="00137F27"/>
    <w:rsid w:val="00144C3F"/>
    <w:rsid w:val="00144D94"/>
    <w:rsid w:val="001466FD"/>
    <w:rsid w:val="0014737A"/>
    <w:rsid w:val="00148B2D"/>
    <w:rsid w:val="00150020"/>
    <w:rsid w:val="001521A6"/>
    <w:rsid w:val="00160DE4"/>
    <w:rsid w:val="00165F04"/>
    <w:rsid w:val="00170689"/>
    <w:rsid w:val="001745BE"/>
    <w:rsid w:val="00181326"/>
    <w:rsid w:val="00188B66"/>
    <w:rsid w:val="0019194C"/>
    <w:rsid w:val="001A167E"/>
    <w:rsid w:val="001A1FF8"/>
    <w:rsid w:val="001A2E9F"/>
    <w:rsid w:val="001A52FA"/>
    <w:rsid w:val="001B1859"/>
    <w:rsid w:val="001B1FB0"/>
    <w:rsid w:val="001B6375"/>
    <w:rsid w:val="001C099F"/>
    <w:rsid w:val="001C6B54"/>
    <w:rsid w:val="001E0D52"/>
    <w:rsid w:val="001E6D22"/>
    <w:rsid w:val="001F29C0"/>
    <w:rsid w:val="001F53F3"/>
    <w:rsid w:val="00207CDD"/>
    <w:rsid w:val="0021137E"/>
    <w:rsid w:val="00215134"/>
    <w:rsid w:val="00224AB4"/>
    <w:rsid w:val="002262EE"/>
    <w:rsid w:val="002275C7"/>
    <w:rsid w:val="002417B0"/>
    <w:rsid w:val="002530FB"/>
    <w:rsid w:val="00257C97"/>
    <w:rsid w:val="002605C0"/>
    <w:rsid w:val="00265473"/>
    <w:rsid w:val="00265910"/>
    <w:rsid w:val="00274877"/>
    <w:rsid w:val="002768ED"/>
    <w:rsid w:val="002774EB"/>
    <w:rsid w:val="002B14F5"/>
    <w:rsid w:val="002B16C4"/>
    <w:rsid w:val="002B5966"/>
    <w:rsid w:val="002C7BC6"/>
    <w:rsid w:val="002C7CAB"/>
    <w:rsid w:val="002D1BCD"/>
    <w:rsid w:val="002E4281"/>
    <w:rsid w:val="002F27AC"/>
    <w:rsid w:val="003021BF"/>
    <w:rsid w:val="00304E2B"/>
    <w:rsid w:val="003055EA"/>
    <w:rsid w:val="00310A82"/>
    <w:rsid w:val="00310B68"/>
    <w:rsid w:val="003135E1"/>
    <w:rsid w:val="003147D9"/>
    <w:rsid w:val="00321F35"/>
    <w:rsid w:val="003235D2"/>
    <w:rsid w:val="00323709"/>
    <w:rsid w:val="003300D6"/>
    <w:rsid w:val="0033612A"/>
    <w:rsid w:val="00346BA7"/>
    <w:rsid w:val="00362120"/>
    <w:rsid w:val="00365B19"/>
    <w:rsid w:val="0037617C"/>
    <w:rsid w:val="003804C1"/>
    <w:rsid w:val="003860A9"/>
    <w:rsid w:val="0039288B"/>
    <w:rsid w:val="00395A3F"/>
    <w:rsid w:val="0039613E"/>
    <w:rsid w:val="003A33FF"/>
    <w:rsid w:val="003A3EE8"/>
    <w:rsid w:val="003A7EDA"/>
    <w:rsid w:val="003B12AE"/>
    <w:rsid w:val="003B5A83"/>
    <w:rsid w:val="003C0139"/>
    <w:rsid w:val="003C0FAF"/>
    <w:rsid w:val="003C3DFC"/>
    <w:rsid w:val="003C65BD"/>
    <w:rsid w:val="003C71F4"/>
    <w:rsid w:val="003E035B"/>
    <w:rsid w:val="003E4091"/>
    <w:rsid w:val="003E9694"/>
    <w:rsid w:val="003F0F7A"/>
    <w:rsid w:val="003F7E05"/>
    <w:rsid w:val="00404D5B"/>
    <w:rsid w:val="004078D4"/>
    <w:rsid w:val="00412354"/>
    <w:rsid w:val="00421DB5"/>
    <w:rsid w:val="00423CB5"/>
    <w:rsid w:val="00426A86"/>
    <w:rsid w:val="00460D83"/>
    <w:rsid w:val="00462418"/>
    <w:rsid w:val="00463339"/>
    <w:rsid w:val="00481A84"/>
    <w:rsid w:val="0048406E"/>
    <w:rsid w:val="00487BAF"/>
    <w:rsid w:val="00493E5F"/>
    <w:rsid w:val="00497EFA"/>
    <w:rsid w:val="004A62E1"/>
    <w:rsid w:val="004A684A"/>
    <w:rsid w:val="004A7DFA"/>
    <w:rsid w:val="004B399F"/>
    <w:rsid w:val="004B4072"/>
    <w:rsid w:val="004B4512"/>
    <w:rsid w:val="004C0AAD"/>
    <w:rsid w:val="004C7E30"/>
    <w:rsid w:val="004D28DC"/>
    <w:rsid w:val="004D2E2F"/>
    <w:rsid w:val="004D3B73"/>
    <w:rsid w:val="004D71CC"/>
    <w:rsid w:val="004E0393"/>
    <w:rsid w:val="004E0FCF"/>
    <w:rsid w:val="004E3718"/>
    <w:rsid w:val="004E61A9"/>
    <w:rsid w:val="00501814"/>
    <w:rsid w:val="005110C1"/>
    <w:rsid w:val="00525694"/>
    <w:rsid w:val="00526BB0"/>
    <w:rsid w:val="00527579"/>
    <w:rsid w:val="00532728"/>
    <w:rsid w:val="005352FE"/>
    <w:rsid w:val="00535E8D"/>
    <w:rsid w:val="0054262B"/>
    <w:rsid w:val="0054661E"/>
    <w:rsid w:val="00550A70"/>
    <w:rsid w:val="00562293"/>
    <w:rsid w:val="00567C86"/>
    <w:rsid w:val="00570FB7"/>
    <w:rsid w:val="00580399"/>
    <w:rsid w:val="00581AD2"/>
    <w:rsid w:val="005842BB"/>
    <w:rsid w:val="00591C68"/>
    <w:rsid w:val="005A5CF6"/>
    <w:rsid w:val="005A7E2A"/>
    <w:rsid w:val="005B57D3"/>
    <w:rsid w:val="005B5B6F"/>
    <w:rsid w:val="005B6BD2"/>
    <w:rsid w:val="005B7B2A"/>
    <w:rsid w:val="005C1942"/>
    <w:rsid w:val="005C30C2"/>
    <w:rsid w:val="005C5F98"/>
    <w:rsid w:val="005D0BD9"/>
    <w:rsid w:val="005D32A8"/>
    <w:rsid w:val="005D5318"/>
    <w:rsid w:val="005D736F"/>
    <w:rsid w:val="005E1FDD"/>
    <w:rsid w:val="005E7419"/>
    <w:rsid w:val="005E78B0"/>
    <w:rsid w:val="005F0098"/>
    <w:rsid w:val="005F192A"/>
    <w:rsid w:val="005F790E"/>
    <w:rsid w:val="00603905"/>
    <w:rsid w:val="006119DE"/>
    <w:rsid w:val="00623786"/>
    <w:rsid w:val="00623923"/>
    <w:rsid w:val="00637FBA"/>
    <w:rsid w:val="0064351F"/>
    <w:rsid w:val="006446AE"/>
    <w:rsid w:val="006525D8"/>
    <w:rsid w:val="006570E2"/>
    <w:rsid w:val="00657F5B"/>
    <w:rsid w:val="00661215"/>
    <w:rsid w:val="00663704"/>
    <w:rsid w:val="00671EC1"/>
    <w:rsid w:val="0067B1B5"/>
    <w:rsid w:val="00683756"/>
    <w:rsid w:val="00683DB6"/>
    <w:rsid w:val="0068428B"/>
    <w:rsid w:val="00691DA2"/>
    <w:rsid w:val="00695222"/>
    <w:rsid w:val="006A086A"/>
    <w:rsid w:val="006A6422"/>
    <w:rsid w:val="006B3024"/>
    <w:rsid w:val="006B3265"/>
    <w:rsid w:val="006C226C"/>
    <w:rsid w:val="006E5A4B"/>
    <w:rsid w:val="006E603E"/>
    <w:rsid w:val="006F4577"/>
    <w:rsid w:val="006F79DD"/>
    <w:rsid w:val="007047EA"/>
    <w:rsid w:val="00713EF9"/>
    <w:rsid w:val="00722746"/>
    <w:rsid w:val="00744B37"/>
    <w:rsid w:val="00751FA8"/>
    <w:rsid w:val="007549C0"/>
    <w:rsid w:val="00760FE3"/>
    <w:rsid w:val="00767FBA"/>
    <w:rsid w:val="0077719F"/>
    <w:rsid w:val="00780CE7"/>
    <w:rsid w:val="007861FD"/>
    <w:rsid w:val="00791CBF"/>
    <w:rsid w:val="00793FF0"/>
    <w:rsid w:val="007A40C0"/>
    <w:rsid w:val="007A4CF7"/>
    <w:rsid w:val="007A5134"/>
    <w:rsid w:val="007B672E"/>
    <w:rsid w:val="007C5CC9"/>
    <w:rsid w:val="007D7323"/>
    <w:rsid w:val="007E3AD0"/>
    <w:rsid w:val="007E44D9"/>
    <w:rsid w:val="007E77FE"/>
    <w:rsid w:val="007F1561"/>
    <w:rsid w:val="007F2557"/>
    <w:rsid w:val="007F3324"/>
    <w:rsid w:val="007F332D"/>
    <w:rsid w:val="007F3348"/>
    <w:rsid w:val="00816DBA"/>
    <w:rsid w:val="00821C26"/>
    <w:rsid w:val="00824E34"/>
    <w:rsid w:val="00827CBD"/>
    <w:rsid w:val="008346F6"/>
    <w:rsid w:val="00846D10"/>
    <w:rsid w:val="00847FE9"/>
    <w:rsid w:val="008507B8"/>
    <w:rsid w:val="00857E99"/>
    <w:rsid w:val="00865AB3"/>
    <w:rsid w:val="0086663C"/>
    <w:rsid w:val="00867D65"/>
    <w:rsid w:val="008715BC"/>
    <w:rsid w:val="00871D7A"/>
    <w:rsid w:val="00874C40"/>
    <w:rsid w:val="00875789"/>
    <w:rsid w:val="0088380A"/>
    <w:rsid w:val="0088390E"/>
    <w:rsid w:val="008866FA"/>
    <w:rsid w:val="00891A67"/>
    <w:rsid w:val="008B16CF"/>
    <w:rsid w:val="008B6CE8"/>
    <w:rsid w:val="008C11D4"/>
    <w:rsid w:val="008C470B"/>
    <w:rsid w:val="008C629D"/>
    <w:rsid w:val="008D437F"/>
    <w:rsid w:val="008D4697"/>
    <w:rsid w:val="008E0AC2"/>
    <w:rsid w:val="008E4B43"/>
    <w:rsid w:val="008F1D0B"/>
    <w:rsid w:val="008F51E9"/>
    <w:rsid w:val="008F7BD9"/>
    <w:rsid w:val="00900F15"/>
    <w:rsid w:val="009035ED"/>
    <w:rsid w:val="00910701"/>
    <w:rsid w:val="009206E7"/>
    <w:rsid w:val="00922B82"/>
    <w:rsid w:val="009238FA"/>
    <w:rsid w:val="009239F7"/>
    <w:rsid w:val="00930286"/>
    <w:rsid w:val="00931380"/>
    <w:rsid w:val="00943819"/>
    <w:rsid w:val="00947405"/>
    <w:rsid w:val="0095022E"/>
    <w:rsid w:val="009553A1"/>
    <w:rsid w:val="00957490"/>
    <w:rsid w:val="009876E1"/>
    <w:rsid w:val="009911E5"/>
    <w:rsid w:val="009918C3"/>
    <w:rsid w:val="00993368"/>
    <w:rsid w:val="009B7200"/>
    <w:rsid w:val="009D128D"/>
    <w:rsid w:val="009D3BEF"/>
    <w:rsid w:val="009D6D4F"/>
    <w:rsid w:val="009E0030"/>
    <w:rsid w:val="009E10F0"/>
    <w:rsid w:val="009E3850"/>
    <w:rsid w:val="009E4D75"/>
    <w:rsid w:val="009F1749"/>
    <w:rsid w:val="009F1D2F"/>
    <w:rsid w:val="009F4D53"/>
    <w:rsid w:val="00A0382A"/>
    <w:rsid w:val="00A04EA8"/>
    <w:rsid w:val="00A15A87"/>
    <w:rsid w:val="00A15ECE"/>
    <w:rsid w:val="00A20766"/>
    <w:rsid w:val="00A20838"/>
    <w:rsid w:val="00A31F7C"/>
    <w:rsid w:val="00A34743"/>
    <w:rsid w:val="00A41536"/>
    <w:rsid w:val="00A4466E"/>
    <w:rsid w:val="00A47B7B"/>
    <w:rsid w:val="00A54A84"/>
    <w:rsid w:val="00A56275"/>
    <w:rsid w:val="00A5673C"/>
    <w:rsid w:val="00A70D25"/>
    <w:rsid w:val="00A7535D"/>
    <w:rsid w:val="00A75363"/>
    <w:rsid w:val="00A816D3"/>
    <w:rsid w:val="00A8522F"/>
    <w:rsid w:val="00A8BEA9"/>
    <w:rsid w:val="00A94413"/>
    <w:rsid w:val="00AA16BC"/>
    <w:rsid w:val="00AA4C21"/>
    <w:rsid w:val="00AA6165"/>
    <w:rsid w:val="00AA7776"/>
    <w:rsid w:val="00AB3EB9"/>
    <w:rsid w:val="00AB62E0"/>
    <w:rsid w:val="00AB735E"/>
    <w:rsid w:val="00AC5A71"/>
    <w:rsid w:val="00AC7908"/>
    <w:rsid w:val="00AD592E"/>
    <w:rsid w:val="00AE10BE"/>
    <w:rsid w:val="00AE5E09"/>
    <w:rsid w:val="00AE707D"/>
    <w:rsid w:val="00AF331B"/>
    <w:rsid w:val="00AF7B2A"/>
    <w:rsid w:val="00B0284B"/>
    <w:rsid w:val="00B0379A"/>
    <w:rsid w:val="00B04BCE"/>
    <w:rsid w:val="00B06EF9"/>
    <w:rsid w:val="00B13740"/>
    <w:rsid w:val="00B2254A"/>
    <w:rsid w:val="00B22C84"/>
    <w:rsid w:val="00B26663"/>
    <w:rsid w:val="00B2712F"/>
    <w:rsid w:val="00B42F2D"/>
    <w:rsid w:val="00B476DA"/>
    <w:rsid w:val="00B634AE"/>
    <w:rsid w:val="00B66012"/>
    <w:rsid w:val="00B704E8"/>
    <w:rsid w:val="00B705B1"/>
    <w:rsid w:val="00B71470"/>
    <w:rsid w:val="00B72627"/>
    <w:rsid w:val="00B73771"/>
    <w:rsid w:val="00B90CFB"/>
    <w:rsid w:val="00B91BEC"/>
    <w:rsid w:val="00B92479"/>
    <w:rsid w:val="00BA4E2A"/>
    <w:rsid w:val="00BA63FE"/>
    <w:rsid w:val="00BB31CB"/>
    <w:rsid w:val="00BB3645"/>
    <w:rsid w:val="00BB3CE5"/>
    <w:rsid w:val="00BC07CB"/>
    <w:rsid w:val="00BC25C2"/>
    <w:rsid w:val="00BD246A"/>
    <w:rsid w:val="00BD68F0"/>
    <w:rsid w:val="00BE0F28"/>
    <w:rsid w:val="00BE12E9"/>
    <w:rsid w:val="00BE32C5"/>
    <w:rsid w:val="00BE6312"/>
    <w:rsid w:val="00BF5AFE"/>
    <w:rsid w:val="00C01F2D"/>
    <w:rsid w:val="00C10168"/>
    <w:rsid w:val="00C10AD0"/>
    <w:rsid w:val="00C12710"/>
    <w:rsid w:val="00C13088"/>
    <w:rsid w:val="00C14030"/>
    <w:rsid w:val="00C14178"/>
    <w:rsid w:val="00C14CD2"/>
    <w:rsid w:val="00C16DB2"/>
    <w:rsid w:val="00C45ABA"/>
    <w:rsid w:val="00C500A3"/>
    <w:rsid w:val="00C52017"/>
    <w:rsid w:val="00C55CE6"/>
    <w:rsid w:val="00C560A6"/>
    <w:rsid w:val="00C76617"/>
    <w:rsid w:val="00C8184F"/>
    <w:rsid w:val="00CA4D4D"/>
    <w:rsid w:val="00CB6AB7"/>
    <w:rsid w:val="00CC6C16"/>
    <w:rsid w:val="00CC7402"/>
    <w:rsid w:val="00CD16C9"/>
    <w:rsid w:val="00CD5923"/>
    <w:rsid w:val="00CE08A5"/>
    <w:rsid w:val="00CE47F3"/>
    <w:rsid w:val="00CE6D0F"/>
    <w:rsid w:val="00D0480E"/>
    <w:rsid w:val="00D128B3"/>
    <w:rsid w:val="00D14637"/>
    <w:rsid w:val="00D14B86"/>
    <w:rsid w:val="00D1674E"/>
    <w:rsid w:val="00D40BBB"/>
    <w:rsid w:val="00D42B3B"/>
    <w:rsid w:val="00D46BA8"/>
    <w:rsid w:val="00D5321D"/>
    <w:rsid w:val="00D5462E"/>
    <w:rsid w:val="00D56B84"/>
    <w:rsid w:val="00D60C89"/>
    <w:rsid w:val="00D6185A"/>
    <w:rsid w:val="00D632A7"/>
    <w:rsid w:val="00D65431"/>
    <w:rsid w:val="00D71230"/>
    <w:rsid w:val="00D82998"/>
    <w:rsid w:val="00D84D65"/>
    <w:rsid w:val="00D8515E"/>
    <w:rsid w:val="00D851DC"/>
    <w:rsid w:val="00D95BE3"/>
    <w:rsid w:val="00D97CD9"/>
    <w:rsid w:val="00DA348A"/>
    <w:rsid w:val="00DA618B"/>
    <w:rsid w:val="00DB264C"/>
    <w:rsid w:val="00DB5A55"/>
    <w:rsid w:val="00DB60B0"/>
    <w:rsid w:val="00DC0041"/>
    <w:rsid w:val="00DC1730"/>
    <w:rsid w:val="00DD0927"/>
    <w:rsid w:val="00DD21E4"/>
    <w:rsid w:val="00DD3F9C"/>
    <w:rsid w:val="00DE733E"/>
    <w:rsid w:val="00E03F7F"/>
    <w:rsid w:val="00E10F91"/>
    <w:rsid w:val="00E161F2"/>
    <w:rsid w:val="00E17121"/>
    <w:rsid w:val="00E34175"/>
    <w:rsid w:val="00E43987"/>
    <w:rsid w:val="00E505E3"/>
    <w:rsid w:val="00E60870"/>
    <w:rsid w:val="00E77048"/>
    <w:rsid w:val="00E77449"/>
    <w:rsid w:val="00E95BB5"/>
    <w:rsid w:val="00E963CA"/>
    <w:rsid w:val="00EA06C2"/>
    <w:rsid w:val="00EB12EA"/>
    <w:rsid w:val="00EB2FF9"/>
    <w:rsid w:val="00EC03C9"/>
    <w:rsid w:val="00EC52BC"/>
    <w:rsid w:val="00EC5697"/>
    <w:rsid w:val="00ED351C"/>
    <w:rsid w:val="00ED5E89"/>
    <w:rsid w:val="00EF2A2E"/>
    <w:rsid w:val="00EF4A15"/>
    <w:rsid w:val="00F04278"/>
    <w:rsid w:val="00F12027"/>
    <w:rsid w:val="00F24D58"/>
    <w:rsid w:val="00F27165"/>
    <w:rsid w:val="00F30D6F"/>
    <w:rsid w:val="00F32A63"/>
    <w:rsid w:val="00F33315"/>
    <w:rsid w:val="00F3741A"/>
    <w:rsid w:val="00F375E5"/>
    <w:rsid w:val="00F45B0D"/>
    <w:rsid w:val="00F50640"/>
    <w:rsid w:val="00F560AD"/>
    <w:rsid w:val="00F64EBE"/>
    <w:rsid w:val="00F70FF8"/>
    <w:rsid w:val="00F747D2"/>
    <w:rsid w:val="00F77511"/>
    <w:rsid w:val="00F83DC4"/>
    <w:rsid w:val="00F854E6"/>
    <w:rsid w:val="00FA2D53"/>
    <w:rsid w:val="00FB421A"/>
    <w:rsid w:val="00FE1C83"/>
    <w:rsid w:val="00FF1002"/>
    <w:rsid w:val="011199E0"/>
    <w:rsid w:val="012A5768"/>
    <w:rsid w:val="0182CE77"/>
    <w:rsid w:val="01976513"/>
    <w:rsid w:val="01D41A02"/>
    <w:rsid w:val="02000673"/>
    <w:rsid w:val="022AF99A"/>
    <w:rsid w:val="02397512"/>
    <w:rsid w:val="0249434E"/>
    <w:rsid w:val="025E99A8"/>
    <w:rsid w:val="02631784"/>
    <w:rsid w:val="02A7FB5E"/>
    <w:rsid w:val="02AF1663"/>
    <w:rsid w:val="0307EEE4"/>
    <w:rsid w:val="036DD098"/>
    <w:rsid w:val="037B43FC"/>
    <w:rsid w:val="03BDC109"/>
    <w:rsid w:val="03E7FE97"/>
    <w:rsid w:val="0425BBA7"/>
    <w:rsid w:val="042E2F0E"/>
    <w:rsid w:val="04382484"/>
    <w:rsid w:val="0444299E"/>
    <w:rsid w:val="0465D75B"/>
    <w:rsid w:val="0490EA5B"/>
    <w:rsid w:val="04AE195F"/>
    <w:rsid w:val="04BA2F54"/>
    <w:rsid w:val="04BC4B0C"/>
    <w:rsid w:val="04BEF4EF"/>
    <w:rsid w:val="04C25CBF"/>
    <w:rsid w:val="0512584C"/>
    <w:rsid w:val="05619D51"/>
    <w:rsid w:val="05695A45"/>
    <w:rsid w:val="0583CEF8"/>
    <w:rsid w:val="05AC2A16"/>
    <w:rsid w:val="060386A4"/>
    <w:rsid w:val="0610DF38"/>
    <w:rsid w:val="06219B70"/>
    <w:rsid w:val="062C4208"/>
    <w:rsid w:val="062DC37E"/>
    <w:rsid w:val="06317999"/>
    <w:rsid w:val="06320CF9"/>
    <w:rsid w:val="06459284"/>
    <w:rsid w:val="0645E375"/>
    <w:rsid w:val="065E2D20"/>
    <w:rsid w:val="0664998B"/>
    <w:rsid w:val="0669D10D"/>
    <w:rsid w:val="06980121"/>
    <w:rsid w:val="06E01A47"/>
    <w:rsid w:val="070E10D3"/>
    <w:rsid w:val="074BD8B6"/>
    <w:rsid w:val="07632AEA"/>
    <w:rsid w:val="076E8972"/>
    <w:rsid w:val="0789D7D3"/>
    <w:rsid w:val="078A4B76"/>
    <w:rsid w:val="07952CE0"/>
    <w:rsid w:val="07E5BA21"/>
    <w:rsid w:val="07F9FD81"/>
    <w:rsid w:val="08001CE1"/>
    <w:rsid w:val="081124DE"/>
    <w:rsid w:val="08394462"/>
    <w:rsid w:val="0858AF04"/>
    <w:rsid w:val="08677873"/>
    <w:rsid w:val="086D66C5"/>
    <w:rsid w:val="089F5C75"/>
    <w:rsid w:val="08AC2289"/>
    <w:rsid w:val="08BAC511"/>
    <w:rsid w:val="08E7A917"/>
    <w:rsid w:val="08E7AF36"/>
    <w:rsid w:val="094889AD"/>
    <w:rsid w:val="09818A82"/>
    <w:rsid w:val="0995CDE2"/>
    <w:rsid w:val="09A5C698"/>
    <w:rsid w:val="09AE37A8"/>
    <w:rsid w:val="0A117546"/>
    <w:rsid w:val="0A3B2CD6"/>
    <w:rsid w:val="0A57401B"/>
    <w:rsid w:val="0A65C9E5"/>
    <w:rsid w:val="0A837978"/>
    <w:rsid w:val="0AC8BFBD"/>
    <w:rsid w:val="0AEA4793"/>
    <w:rsid w:val="0B1D5AE3"/>
    <w:rsid w:val="0B3C8FE7"/>
    <w:rsid w:val="0B6DE128"/>
    <w:rsid w:val="0B71AA6B"/>
    <w:rsid w:val="0BA7FF14"/>
    <w:rsid w:val="0BB2F1DF"/>
    <w:rsid w:val="0BD6FD37"/>
    <w:rsid w:val="0C345DA4"/>
    <w:rsid w:val="0C9B838C"/>
    <w:rsid w:val="0CB9BC10"/>
    <w:rsid w:val="0D4B9CAE"/>
    <w:rsid w:val="0D6B1285"/>
    <w:rsid w:val="0D73C719"/>
    <w:rsid w:val="0D7F93AC"/>
    <w:rsid w:val="0D8EE0DD"/>
    <w:rsid w:val="0DA02032"/>
    <w:rsid w:val="0DB94411"/>
    <w:rsid w:val="0E2E01DF"/>
    <w:rsid w:val="0E447383"/>
    <w:rsid w:val="0E69277C"/>
    <w:rsid w:val="0E96EE3F"/>
    <w:rsid w:val="0EA7F4AC"/>
    <w:rsid w:val="0EC5B332"/>
    <w:rsid w:val="0ED8FBDF"/>
    <w:rsid w:val="0EDA557D"/>
    <w:rsid w:val="0F4E459A"/>
    <w:rsid w:val="0F5A66AF"/>
    <w:rsid w:val="0F732C72"/>
    <w:rsid w:val="0FA1B858"/>
    <w:rsid w:val="0FF811A9"/>
    <w:rsid w:val="10050F66"/>
    <w:rsid w:val="1011FB1B"/>
    <w:rsid w:val="1035CE96"/>
    <w:rsid w:val="10463C1C"/>
    <w:rsid w:val="105F9949"/>
    <w:rsid w:val="1075BF09"/>
    <w:rsid w:val="1080B6CA"/>
    <w:rsid w:val="10C62837"/>
    <w:rsid w:val="10C6819F"/>
    <w:rsid w:val="10C95813"/>
    <w:rsid w:val="10DF4A7E"/>
    <w:rsid w:val="11482481"/>
    <w:rsid w:val="11612FA5"/>
    <w:rsid w:val="117A0D50"/>
    <w:rsid w:val="11804915"/>
    <w:rsid w:val="1233574E"/>
    <w:rsid w:val="12625200"/>
    <w:rsid w:val="12920771"/>
    <w:rsid w:val="12BA345E"/>
    <w:rsid w:val="1302B7B0"/>
    <w:rsid w:val="130F37DF"/>
    <w:rsid w:val="13325593"/>
    <w:rsid w:val="13B18579"/>
    <w:rsid w:val="13B71C76"/>
    <w:rsid w:val="13BD95BD"/>
    <w:rsid w:val="13C65D9C"/>
    <w:rsid w:val="13D867BC"/>
    <w:rsid w:val="1419BBB0"/>
    <w:rsid w:val="143728AB"/>
    <w:rsid w:val="1464018B"/>
    <w:rsid w:val="14A3DC5F"/>
    <w:rsid w:val="14A791F5"/>
    <w:rsid w:val="14D3C6CA"/>
    <w:rsid w:val="1526EC3A"/>
    <w:rsid w:val="152963AC"/>
    <w:rsid w:val="1599F2C2"/>
    <w:rsid w:val="159AD118"/>
    <w:rsid w:val="15BA9244"/>
    <w:rsid w:val="15C9A833"/>
    <w:rsid w:val="161C9BEC"/>
    <w:rsid w:val="162AC6AD"/>
    <w:rsid w:val="164DE670"/>
    <w:rsid w:val="167198FB"/>
    <w:rsid w:val="168BC853"/>
    <w:rsid w:val="16F6BC0D"/>
    <w:rsid w:val="172A5FCB"/>
    <w:rsid w:val="175043AD"/>
    <w:rsid w:val="176016DB"/>
    <w:rsid w:val="1789FC67"/>
    <w:rsid w:val="17C98394"/>
    <w:rsid w:val="17D1BB4A"/>
    <w:rsid w:val="189A2FFE"/>
    <w:rsid w:val="18C4E92F"/>
    <w:rsid w:val="18D2D189"/>
    <w:rsid w:val="18FA2099"/>
    <w:rsid w:val="1929E178"/>
    <w:rsid w:val="1941FDF0"/>
    <w:rsid w:val="197AE504"/>
    <w:rsid w:val="197D457A"/>
    <w:rsid w:val="199812F3"/>
    <w:rsid w:val="19A2C24A"/>
    <w:rsid w:val="19A939BD"/>
    <w:rsid w:val="19DCDD52"/>
    <w:rsid w:val="19DE1F56"/>
    <w:rsid w:val="19F1B1E9"/>
    <w:rsid w:val="1A3C291A"/>
    <w:rsid w:val="1A6D63E5"/>
    <w:rsid w:val="1A706D4A"/>
    <w:rsid w:val="1A7B3D2E"/>
    <w:rsid w:val="1A960C5A"/>
    <w:rsid w:val="1AAFC77D"/>
    <w:rsid w:val="1AB179A4"/>
    <w:rsid w:val="1B0B27F2"/>
    <w:rsid w:val="1B47C20D"/>
    <w:rsid w:val="1B4CCE4F"/>
    <w:rsid w:val="1B569A98"/>
    <w:rsid w:val="1BB05636"/>
    <w:rsid w:val="1BD528A3"/>
    <w:rsid w:val="1BEDDE39"/>
    <w:rsid w:val="1BF0718B"/>
    <w:rsid w:val="1C093446"/>
    <w:rsid w:val="1C38E9B7"/>
    <w:rsid w:val="1C6DA5DB"/>
    <w:rsid w:val="1C833250"/>
    <w:rsid w:val="1C8BB033"/>
    <w:rsid w:val="1CDEF64E"/>
    <w:rsid w:val="1CF276BF"/>
    <w:rsid w:val="1CF6185D"/>
    <w:rsid w:val="1D4C41F7"/>
    <w:rsid w:val="1D597CE6"/>
    <w:rsid w:val="1D64EB69"/>
    <w:rsid w:val="1D71A131"/>
    <w:rsid w:val="1D8C6CCE"/>
    <w:rsid w:val="1DC23AFF"/>
    <w:rsid w:val="1DE01CB8"/>
    <w:rsid w:val="1E3E739F"/>
    <w:rsid w:val="1E5445B8"/>
    <w:rsid w:val="1E55DDF1"/>
    <w:rsid w:val="1E612C33"/>
    <w:rsid w:val="1ECA42D7"/>
    <w:rsid w:val="1F1B49E4"/>
    <w:rsid w:val="1F75CAA8"/>
    <w:rsid w:val="1F89A3DE"/>
    <w:rsid w:val="1FBB6D1C"/>
    <w:rsid w:val="20199E82"/>
    <w:rsid w:val="205C5FE6"/>
    <w:rsid w:val="206C66A1"/>
    <w:rsid w:val="208BA089"/>
    <w:rsid w:val="20AF5BAD"/>
    <w:rsid w:val="20E492EF"/>
    <w:rsid w:val="20FF8CA1"/>
    <w:rsid w:val="2146A036"/>
    <w:rsid w:val="21573D7D"/>
    <w:rsid w:val="21741DD4"/>
    <w:rsid w:val="2198653E"/>
    <w:rsid w:val="21C063FB"/>
    <w:rsid w:val="2234536D"/>
    <w:rsid w:val="227A2993"/>
    <w:rsid w:val="227A9840"/>
    <w:rsid w:val="22AD6B6A"/>
    <w:rsid w:val="22F39B60"/>
    <w:rsid w:val="232C45C1"/>
    <w:rsid w:val="2343C32F"/>
    <w:rsid w:val="235920A1"/>
    <w:rsid w:val="239F3E99"/>
    <w:rsid w:val="23D9B504"/>
    <w:rsid w:val="2414462B"/>
    <w:rsid w:val="241668A1"/>
    <w:rsid w:val="241C17FE"/>
    <w:rsid w:val="24265074"/>
    <w:rsid w:val="2463339A"/>
    <w:rsid w:val="2464B2D7"/>
    <w:rsid w:val="24C4D6A7"/>
    <w:rsid w:val="24CFAC10"/>
    <w:rsid w:val="24DBB07B"/>
    <w:rsid w:val="24DF9390"/>
    <w:rsid w:val="24E82DBE"/>
    <w:rsid w:val="251A90B8"/>
    <w:rsid w:val="25577B30"/>
    <w:rsid w:val="258B109E"/>
    <w:rsid w:val="2597CC85"/>
    <w:rsid w:val="259B6127"/>
    <w:rsid w:val="25B34B05"/>
    <w:rsid w:val="25B8EF29"/>
    <w:rsid w:val="266A77FE"/>
    <w:rsid w:val="2671EE67"/>
    <w:rsid w:val="267FEB33"/>
    <w:rsid w:val="268190E4"/>
    <w:rsid w:val="26A4B7D5"/>
    <w:rsid w:val="26BE5A09"/>
    <w:rsid w:val="26C105B2"/>
    <w:rsid w:val="26DFFF9A"/>
    <w:rsid w:val="272906AD"/>
    <w:rsid w:val="27662305"/>
    <w:rsid w:val="276AF2E4"/>
    <w:rsid w:val="27704F90"/>
    <w:rsid w:val="280DBEC8"/>
    <w:rsid w:val="28275FD9"/>
    <w:rsid w:val="286A54E3"/>
    <w:rsid w:val="28AA6C62"/>
    <w:rsid w:val="28C56055"/>
    <w:rsid w:val="28D19856"/>
    <w:rsid w:val="28E8D18F"/>
    <w:rsid w:val="28F06580"/>
    <w:rsid w:val="290B7CBA"/>
    <w:rsid w:val="295022AA"/>
    <w:rsid w:val="29719A8B"/>
    <w:rsid w:val="29AA49A9"/>
    <w:rsid w:val="29B55B4F"/>
    <w:rsid w:val="29C3303A"/>
    <w:rsid w:val="29CBECAE"/>
    <w:rsid w:val="29D224FB"/>
    <w:rsid w:val="29E68329"/>
    <w:rsid w:val="2A000B3B"/>
    <w:rsid w:val="2A5A853D"/>
    <w:rsid w:val="2AEC7F7F"/>
    <w:rsid w:val="2AFAC745"/>
    <w:rsid w:val="2B200F35"/>
    <w:rsid w:val="2B4E172E"/>
    <w:rsid w:val="2BD5FE16"/>
    <w:rsid w:val="2C0060FE"/>
    <w:rsid w:val="2C0AF09C"/>
    <w:rsid w:val="2C38806D"/>
    <w:rsid w:val="2C4FF6E0"/>
    <w:rsid w:val="2C7BBA80"/>
    <w:rsid w:val="2CE644BF"/>
    <w:rsid w:val="2CFCFBE0"/>
    <w:rsid w:val="2D0134AB"/>
    <w:rsid w:val="2DC315F7"/>
    <w:rsid w:val="2DF0150F"/>
    <w:rsid w:val="2DFA4392"/>
    <w:rsid w:val="2DFCF832"/>
    <w:rsid w:val="2DFE1379"/>
    <w:rsid w:val="2E067E78"/>
    <w:rsid w:val="2E09F80C"/>
    <w:rsid w:val="2E0A497F"/>
    <w:rsid w:val="2E0FE253"/>
    <w:rsid w:val="2E48E013"/>
    <w:rsid w:val="2E9BF39A"/>
    <w:rsid w:val="2F29AAB6"/>
    <w:rsid w:val="2F2AC76C"/>
    <w:rsid w:val="2F346ADF"/>
    <w:rsid w:val="2F96D9CA"/>
    <w:rsid w:val="2F9B74DD"/>
    <w:rsid w:val="2FAC87E7"/>
    <w:rsid w:val="2FB349FA"/>
    <w:rsid w:val="2FBEF161"/>
    <w:rsid w:val="2FF9B2C0"/>
    <w:rsid w:val="300834EA"/>
    <w:rsid w:val="301D6434"/>
    <w:rsid w:val="30231080"/>
    <w:rsid w:val="302565C7"/>
    <w:rsid w:val="3071CC09"/>
    <w:rsid w:val="3075FBDC"/>
    <w:rsid w:val="30B44916"/>
    <w:rsid w:val="30C8CBA1"/>
    <w:rsid w:val="310BF190"/>
    <w:rsid w:val="3112568B"/>
    <w:rsid w:val="31325A47"/>
    <w:rsid w:val="3132AA2B"/>
    <w:rsid w:val="315C5F68"/>
    <w:rsid w:val="31B93495"/>
    <w:rsid w:val="3236F0B9"/>
    <w:rsid w:val="323C356D"/>
    <w:rsid w:val="32459A10"/>
    <w:rsid w:val="32731DC7"/>
    <w:rsid w:val="327B5BE7"/>
    <w:rsid w:val="3296871A"/>
    <w:rsid w:val="32ECE2DD"/>
    <w:rsid w:val="33070B38"/>
    <w:rsid w:val="3309BB62"/>
    <w:rsid w:val="333C68AB"/>
    <w:rsid w:val="334381A6"/>
    <w:rsid w:val="3357A8C5"/>
    <w:rsid w:val="3368E459"/>
    <w:rsid w:val="3398E99B"/>
    <w:rsid w:val="33E019ED"/>
    <w:rsid w:val="33FCAD14"/>
    <w:rsid w:val="340656E7"/>
    <w:rsid w:val="345670C3"/>
    <w:rsid w:val="345DD573"/>
    <w:rsid w:val="3464A9DD"/>
    <w:rsid w:val="3470720A"/>
    <w:rsid w:val="34A7EAD9"/>
    <w:rsid w:val="34F0DECC"/>
    <w:rsid w:val="351DCD6A"/>
    <w:rsid w:val="354D6FBA"/>
    <w:rsid w:val="35B56521"/>
    <w:rsid w:val="35CDC85E"/>
    <w:rsid w:val="35CE27DC"/>
    <w:rsid w:val="35CE735E"/>
    <w:rsid w:val="35D0C22A"/>
    <w:rsid w:val="3658257B"/>
    <w:rsid w:val="36881231"/>
    <w:rsid w:val="36922669"/>
    <w:rsid w:val="36AB403A"/>
    <w:rsid w:val="36B0CA30"/>
    <w:rsid w:val="36E34CCC"/>
    <w:rsid w:val="3724A719"/>
    <w:rsid w:val="372F725C"/>
    <w:rsid w:val="373E3F8E"/>
    <w:rsid w:val="37898B49"/>
    <w:rsid w:val="3790D882"/>
    <w:rsid w:val="381CF74F"/>
    <w:rsid w:val="382BD018"/>
    <w:rsid w:val="3842740B"/>
    <w:rsid w:val="38556E2C"/>
    <w:rsid w:val="385B53E2"/>
    <w:rsid w:val="38602043"/>
    <w:rsid w:val="38783BBA"/>
    <w:rsid w:val="38A4AEE5"/>
    <w:rsid w:val="38B18F93"/>
    <w:rsid w:val="38C36B80"/>
    <w:rsid w:val="38F2D0D4"/>
    <w:rsid w:val="39035D2C"/>
    <w:rsid w:val="3930DA0C"/>
    <w:rsid w:val="3980463B"/>
    <w:rsid w:val="398FC63D"/>
    <w:rsid w:val="3999C28C"/>
    <w:rsid w:val="39A3A516"/>
    <w:rsid w:val="39AEB752"/>
    <w:rsid w:val="39C1F3B4"/>
    <w:rsid w:val="39EA76FC"/>
    <w:rsid w:val="39EF8B57"/>
    <w:rsid w:val="3A77DF32"/>
    <w:rsid w:val="3B752465"/>
    <w:rsid w:val="3BE3E1AB"/>
    <w:rsid w:val="3C00DD94"/>
    <w:rsid w:val="3C332C47"/>
    <w:rsid w:val="3C33A6DC"/>
    <w:rsid w:val="3C59DAB3"/>
    <w:rsid w:val="3C6B1497"/>
    <w:rsid w:val="3C8DF504"/>
    <w:rsid w:val="3CC09626"/>
    <w:rsid w:val="3CFDA543"/>
    <w:rsid w:val="3D68D6E1"/>
    <w:rsid w:val="3D77A4EB"/>
    <w:rsid w:val="3DA00426"/>
    <w:rsid w:val="3DD8DA43"/>
    <w:rsid w:val="3DF9CF5E"/>
    <w:rsid w:val="3E37C0B0"/>
    <w:rsid w:val="3E5B26E8"/>
    <w:rsid w:val="3E7F756A"/>
    <w:rsid w:val="3E82F0AC"/>
    <w:rsid w:val="3E98A9A0"/>
    <w:rsid w:val="3E9FA523"/>
    <w:rsid w:val="3EA06BED"/>
    <w:rsid w:val="3EC70F29"/>
    <w:rsid w:val="3F14193A"/>
    <w:rsid w:val="3F40A913"/>
    <w:rsid w:val="3F40B692"/>
    <w:rsid w:val="3F5EEB2A"/>
    <w:rsid w:val="3F725233"/>
    <w:rsid w:val="3F8529D5"/>
    <w:rsid w:val="3FB5B22F"/>
    <w:rsid w:val="3FB67F11"/>
    <w:rsid w:val="3FC72568"/>
    <w:rsid w:val="3FD207A1"/>
    <w:rsid w:val="403B7584"/>
    <w:rsid w:val="40686D97"/>
    <w:rsid w:val="40B15DBA"/>
    <w:rsid w:val="40B670DC"/>
    <w:rsid w:val="40C0C448"/>
    <w:rsid w:val="40EF1E7D"/>
    <w:rsid w:val="4103AAEE"/>
    <w:rsid w:val="4155FAAF"/>
    <w:rsid w:val="41B617E4"/>
    <w:rsid w:val="41DBBAA8"/>
    <w:rsid w:val="41EB7519"/>
    <w:rsid w:val="41EC536F"/>
    <w:rsid w:val="41FA9416"/>
    <w:rsid w:val="4200510A"/>
    <w:rsid w:val="42043DF8"/>
    <w:rsid w:val="4210E851"/>
    <w:rsid w:val="42353639"/>
    <w:rsid w:val="4240C07F"/>
    <w:rsid w:val="426BE7CC"/>
    <w:rsid w:val="428099FD"/>
    <w:rsid w:val="42914CE0"/>
    <w:rsid w:val="42D1A994"/>
    <w:rsid w:val="42DC4A5A"/>
    <w:rsid w:val="42E035B8"/>
    <w:rsid w:val="42FA79D1"/>
    <w:rsid w:val="430232E7"/>
    <w:rsid w:val="4304F9C9"/>
    <w:rsid w:val="433CF95D"/>
    <w:rsid w:val="4340C97B"/>
    <w:rsid w:val="435E62F1"/>
    <w:rsid w:val="43C0C62B"/>
    <w:rsid w:val="43E5E796"/>
    <w:rsid w:val="43F7D383"/>
    <w:rsid w:val="44068282"/>
    <w:rsid w:val="44147738"/>
    <w:rsid w:val="4440880A"/>
    <w:rsid w:val="445B03B1"/>
    <w:rsid w:val="448F3CA4"/>
    <w:rsid w:val="45019E7C"/>
    <w:rsid w:val="45147660"/>
    <w:rsid w:val="45229CED"/>
    <w:rsid w:val="452315DB"/>
    <w:rsid w:val="452F0071"/>
    <w:rsid w:val="453BDEBA"/>
    <w:rsid w:val="457AAF9E"/>
    <w:rsid w:val="4580D675"/>
    <w:rsid w:val="4599E3B6"/>
    <w:rsid w:val="45AFF816"/>
    <w:rsid w:val="45C63BD7"/>
    <w:rsid w:val="46092EEF"/>
    <w:rsid w:val="463EA0B9"/>
    <w:rsid w:val="466298C4"/>
    <w:rsid w:val="46830A26"/>
    <w:rsid w:val="46BCB81F"/>
    <w:rsid w:val="46E9B31F"/>
    <w:rsid w:val="46EE9BAD"/>
    <w:rsid w:val="471FAD06"/>
    <w:rsid w:val="473A29BB"/>
    <w:rsid w:val="474BC877"/>
    <w:rsid w:val="479271C8"/>
    <w:rsid w:val="47BFB459"/>
    <w:rsid w:val="47FA5431"/>
    <w:rsid w:val="48028D6F"/>
    <w:rsid w:val="488AE579"/>
    <w:rsid w:val="488E748A"/>
    <w:rsid w:val="48B40DD6"/>
    <w:rsid w:val="490D89D0"/>
    <w:rsid w:val="4976417B"/>
    <w:rsid w:val="49A4C299"/>
    <w:rsid w:val="49B17CAC"/>
    <w:rsid w:val="49C14B5C"/>
    <w:rsid w:val="49D31DAB"/>
    <w:rsid w:val="49E1DE08"/>
    <w:rsid w:val="49E3D4CA"/>
    <w:rsid w:val="49E46EAD"/>
    <w:rsid w:val="49F2D377"/>
    <w:rsid w:val="4A1ECCAD"/>
    <w:rsid w:val="4A221A8A"/>
    <w:rsid w:val="4A36B2DC"/>
    <w:rsid w:val="4A57D710"/>
    <w:rsid w:val="4A5BE7EA"/>
    <w:rsid w:val="4A99ACFA"/>
    <w:rsid w:val="4AEBAFE0"/>
    <w:rsid w:val="4AFDFCDD"/>
    <w:rsid w:val="4B1D4FCD"/>
    <w:rsid w:val="4B1D7866"/>
    <w:rsid w:val="4B4AD1DC"/>
    <w:rsid w:val="4B5D1BBD"/>
    <w:rsid w:val="4B640ECE"/>
    <w:rsid w:val="4B83D958"/>
    <w:rsid w:val="4B8C26CF"/>
    <w:rsid w:val="4BC42C87"/>
    <w:rsid w:val="4BC74CFF"/>
    <w:rsid w:val="4BD30CE8"/>
    <w:rsid w:val="4BE979BE"/>
    <w:rsid w:val="4BF56B43"/>
    <w:rsid w:val="4C15CFAA"/>
    <w:rsid w:val="4C7224AB"/>
    <w:rsid w:val="4C975529"/>
    <w:rsid w:val="4CABFE91"/>
    <w:rsid w:val="4CADE23D"/>
    <w:rsid w:val="4CF6E0E4"/>
    <w:rsid w:val="4D2E27C0"/>
    <w:rsid w:val="4D2F0616"/>
    <w:rsid w:val="4D661B32"/>
    <w:rsid w:val="4D93C955"/>
    <w:rsid w:val="4DF614AE"/>
    <w:rsid w:val="4E020D8A"/>
    <w:rsid w:val="4E3877C7"/>
    <w:rsid w:val="4E60DA43"/>
    <w:rsid w:val="4EABA0E0"/>
    <w:rsid w:val="4EB5FE98"/>
    <w:rsid w:val="4EC58C81"/>
    <w:rsid w:val="4ECC1A97"/>
    <w:rsid w:val="4ED8BAEF"/>
    <w:rsid w:val="4F01EB93"/>
    <w:rsid w:val="4F120DD1"/>
    <w:rsid w:val="4F3CFB4A"/>
    <w:rsid w:val="4F3D38EC"/>
    <w:rsid w:val="4F4260DE"/>
    <w:rsid w:val="4F81FE45"/>
    <w:rsid w:val="4F8278E2"/>
    <w:rsid w:val="4FE582FF"/>
    <w:rsid w:val="4FFF5F6C"/>
    <w:rsid w:val="501D1911"/>
    <w:rsid w:val="50849397"/>
    <w:rsid w:val="50BD3FE5"/>
    <w:rsid w:val="50E0788C"/>
    <w:rsid w:val="51112056"/>
    <w:rsid w:val="51CFADCB"/>
    <w:rsid w:val="51E8D628"/>
    <w:rsid w:val="52013965"/>
    <w:rsid w:val="520496E7"/>
    <w:rsid w:val="5209ECCF"/>
    <w:rsid w:val="522063F8"/>
    <w:rsid w:val="522CD06C"/>
    <w:rsid w:val="52314E54"/>
    <w:rsid w:val="526773C6"/>
    <w:rsid w:val="5299F868"/>
    <w:rsid w:val="52C80445"/>
    <w:rsid w:val="52E4758A"/>
    <w:rsid w:val="52EF1815"/>
    <w:rsid w:val="5354B9D3"/>
    <w:rsid w:val="5374A311"/>
    <w:rsid w:val="539D6944"/>
    <w:rsid w:val="53C72BFB"/>
    <w:rsid w:val="53CFAA6B"/>
    <w:rsid w:val="53D6649E"/>
    <w:rsid w:val="53EEA503"/>
    <w:rsid w:val="540096D6"/>
    <w:rsid w:val="541FB2BD"/>
    <w:rsid w:val="5488DF33"/>
    <w:rsid w:val="54C928D1"/>
    <w:rsid w:val="54EFD8E9"/>
    <w:rsid w:val="5520EF9E"/>
    <w:rsid w:val="5524F645"/>
    <w:rsid w:val="553939A5"/>
    <w:rsid w:val="554A051B"/>
    <w:rsid w:val="554B9AD3"/>
    <w:rsid w:val="557A31E2"/>
    <w:rsid w:val="55B030DC"/>
    <w:rsid w:val="55FFA507"/>
    <w:rsid w:val="56999E5A"/>
    <w:rsid w:val="56B867F5"/>
    <w:rsid w:val="56FCD2FE"/>
    <w:rsid w:val="5777B6BA"/>
    <w:rsid w:val="579AFCE0"/>
    <w:rsid w:val="579D23F9"/>
    <w:rsid w:val="57DC000E"/>
    <w:rsid w:val="58255AC3"/>
    <w:rsid w:val="583CD274"/>
    <w:rsid w:val="584022B4"/>
    <w:rsid w:val="585C72F3"/>
    <w:rsid w:val="58FEFA67"/>
    <w:rsid w:val="5905AA28"/>
    <w:rsid w:val="593615C5"/>
    <w:rsid w:val="59623C1A"/>
    <w:rsid w:val="59B5195D"/>
    <w:rsid w:val="59E2AD36"/>
    <w:rsid w:val="59F460C1"/>
    <w:rsid w:val="59FEBA80"/>
    <w:rsid w:val="5A2F0101"/>
    <w:rsid w:val="5A626AFA"/>
    <w:rsid w:val="5AD3162A"/>
    <w:rsid w:val="5AFDD272"/>
    <w:rsid w:val="5B0D3E03"/>
    <w:rsid w:val="5B9743E8"/>
    <w:rsid w:val="5B9E505E"/>
    <w:rsid w:val="5C27368A"/>
    <w:rsid w:val="5C4349BB"/>
    <w:rsid w:val="5C6EE68B"/>
    <w:rsid w:val="5C7E6AF1"/>
    <w:rsid w:val="5C9577FC"/>
    <w:rsid w:val="5CF9ECA0"/>
    <w:rsid w:val="5D352D02"/>
    <w:rsid w:val="5D56B919"/>
    <w:rsid w:val="5D5C9F06"/>
    <w:rsid w:val="5D5EE225"/>
    <w:rsid w:val="5D69CC27"/>
    <w:rsid w:val="5DD611F2"/>
    <w:rsid w:val="5DD91B4B"/>
    <w:rsid w:val="5E131193"/>
    <w:rsid w:val="5E8D9CDE"/>
    <w:rsid w:val="5EEA0CB4"/>
    <w:rsid w:val="5EFF8F13"/>
    <w:rsid w:val="5F0E912A"/>
    <w:rsid w:val="5F17D7BF"/>
    <w:rsid w:val="5F47A4AF"/>
    <w:rsid w:val="5F74EBAC"/>
    <w:rsid w:val="5FAA9996"/>
    <w:rsid w:val="5FAD0FB4"/>
    <w:rsid w:val="5FB55387"/>
    <w:rsid w:val="603F324F"/>
    <w:rsid w:val="6051EEBA"/>
    <w:rsid w:val="605BAC88"/>
    <w:rsid w:val="6062162D"/>
    <w:rsid w:val="60640C78"/>
    <w:rsid w:val="6071BB0B"/>
    <w:rsid w:val="6085775D"/>
    <w:rsid w:val="60E6012B"/>
    <w:rsid w:val="6114BB0E"/>
    <w:rsid w:val="612487E9"/>
    <w:rsid w:val="614257AE"/>
    <w:rsid w:val="6182106D"/>
    <w:rsid w:val="619527DA"/>
    <w:rsid w:val="61B10C40"/>
    <w:rsid w:val="61D12AF2"/>
    <w:rsid w:val="61D6E720"/>
    <w:rsid w:val="61DC9D11"/>
    <w:rsid w:val="61EE99C0"/>
    <w:rsid w:val="61FA6DF6"/>
    <w:rsid w:val="6222AE51"/>
    <w:rsid w:val="62FA44C9"/>
    <w:rsid w:val="630358E6"/>
    <w:rsid w:val="6308E457"/>
    <w:rsid w:val="631033A1"/>
    <w:rsid w:val="6324C683"/>
    <w:rsid w:val="632F99A1"/>
    <w:rsid w:val="6335BFC4"/>
    <w:rsid w:val="633AF027"/>
    <w:rsid w:val="634AB858"/>
    <w:rsid w:val="6365A721"/>
    <w:rsid w:val="636DBFF8"/>
    <w:rsid w:val="6376811F"/>
    <w:rsid w:val="63898F7C"/>
    <w:rsid w:val="63AFAF9C"/>
    <w:rsid w:val="63C0745A"/>
    <w:rsid w:val="63E79706"/>
    <w:rsid w:val="647641F8"/>
    <w:rsid w:val="6496152A"/>
    <w:rsid w:val="64996126"/>
    <w:rsid w:val="64B0F162"/>
    <w:rsid w:val="64BDDD15"/>
    <w:rsid w:val="64E363A0"/>
    <w:rsid w:val="651B3A74"/>
    <w:rsid w:val="652A1F99"/>
    <w:rsid w:val="652ADF7A"/>
    <w:rsid w:val="654E641F"/>
    <w:rsid w:val="656BAFA7"/>
    <w:rsid w:val="6570A61F"/>
    <w:rsid w:val="658F038E"/>
    <w:rsid w:val="65B6FCDF"/>
    <w:rsid w:val="65D1ECA6"/>
    <w:rsid w:val="662E63DC"/>
    <w:rsid w:val="662EDD02"/>
    <w:rsid w:val="663E4296"/>
    <w:rsid w:val="66640CE5"/>
    <w:rsid w:val="666E7F90"/>
    <w:rsid w:val="6729C615"/>
    <w:rsid w:val="677453E0"/>
    <w:rsid w:val="679BF4B6"/>
    <w:rsid w:val="67C6E933"/>
    <w:rsid w:val="67C8D1CB"/>
    <w:rsid w:val="67CC93D8"/>
    <w:rsid w:val="67CD3A6D"/>
    <w:rsid w:val="67D7033D"/>
    <w:rsid w:val="67FABE06"/>
    <w:rsid w:val="684AE896"/>
    <w:rsid w:val="685D009F"/>
    <w:rsid w:val="68B92BDB"/>
    <w:rsid w:val="68EF563F"/>
    <w:rsid w:val="69346C50"/>
    <w:rsid w:val="693675D8"/>
    <w:rsid w:val="693E843A"/>
    <w:rsid w:val="6948D60C"/>
    <w:rsid w:val="694EA0FD"/>
    <w:rsid w:val="69546BAA"/>
    <w:rsid w:val="696C7356"/>
    <w:rsid w:val="696EB8AE"/>
    <w:rsid w:val="69CDB2E2"/>
    <w:rsid w:val="6A28EF49"/>
    <w:rsid w:val="6A6057E9"/>
    <w:rsid w:val="6A6483EB"/>
    <w:rsid w:val="6A697225"/>
    <w:rsid w:val="6AAFDAB8"/>
    <w:rsid w:val="6ABC1AC9"/>
    <w:rsid w:val="6AE1340E"/>
    <w:rsid w:val="6B0556AE"/>
    <w:rsid w:val="6B056477"/>
    <w:rsid w:val="6BE397E6"/>
    <w:rsid w:val="6C6AD239"/>
    <w:rsid w:val="6CCB6F7A"/>
    <w:rsid w:val="6CCE95A1"/>
    <w:rsid w:val="6D12469F"/>
    <w:rsid w:val="6D45A10C"/>
    <w:rsid w:val="6D57636F"/>
    <w:rsid w:val="6D70C7B5"/>
    <w:rsid w:val="6D905C79"/>
    <w:rsid w:val="6DA02F91"/>
    <w:rsid w:val="6DA895F3"/>
    <w:rsid w:val="6DD6BCCE"/>
    <w:rsid w:val="6E015167"/>
    <w:rsid w:val="6EABB00A"/>
    <w:rsid w:val="6ECDACA2"/>
    <w:rsid w:val="6F165FBA"/>
    <w:rsid w:val="6F1BD708"/>
    <w:rsid w:val="6F3BFFF2"/>
    <w:rsid w:val="6FA3F1D9"/>
    <w:rsid w:val="6FB89044"/>
    <w:rsid w:val="7080F1D9"/>
    <w:rsid w:val="70A8EEA0"/>
    <w:rsid w:val="70FED2E3"/>
    <w:rsid w:val="717003C5"/>
    <w:rsid w:val="718B2546"/>
    <w:rsid w:val="71E1F3E3"/>
    <w:rsid w:val="720F63E4"/>
    <w:rsid w:val="7260FB1D"/>
    <w:rsid w:val="72836A2B"/>
    <w:rsid w:val="72B20C46"/>
    <w:rsid w:val="7326F5A7"/>
    <w:rsid w:val="733C698C"/>
    <w:rsid w:val="7351415E"/>
    <w:rsid w:val="73974DE8"/>
    <w:rsid w:val="73E80ECC"/>
    <w:rsid w:val="74223078"/>
    <w:rsid w:val="742B2857"/>
    <w:rsid w:val="7433AFDD"/>
    <w:rsid w:val="74373EAE"/>
    <w:rsid w:val="74865A8F"/>
    <w:rsid w:val="7486676A"/>
    <w:rsid w:val="748AB08F"/>
    <w:rsid w:val="74BB5E96"/>
    <w:rsid w:val="74C2C608"/>
    <w:rsid w:val="74E6C444"/>
    <w:rsid w:val="75089931"/>
    <w:rsid w:val="752810FA"/>
    <w:rsid w:val="754F5078"/>
    <w:rsid w:val="757B6165"/>
    <w:rsid w:val="75C7C3D2"/>
    <w:rsid w:val="75D04843"/>
    <w:rsid w:val="75F3E0AE"/>
    <w:rsid w:val="75F7BBF7"/>
    <w:rsid w:val="76401BCF"/>
    <w:rsid w:val="766A639F"/>
    <w:rsid w:val="768937DE"/>
    <w:rsid w:val="7692A230"/>
    <w:rsid w:val="769C7F23"/>
    <w:rsid w:val="76D85F79"/>
    <w:rsid w:val="76D86615"/>
    <w:rsid w:val="7709D881"/>
    <w:rsid w:val="77467858"/>
    <w:rsid w:val="77760D38"/>
    <w:rsid w:val="77892C1A"/>
    <w:rsid w:val="77B34796"/>
    <w:rsid w:val="78A23880"/>
    <w:rsid w:val="78A5CCB2"/>
    <w:rsid w:val="78C3808F"/>
    <w:rsid w:val="7913002F"/>
    <w:rsid w:val="7936C5CC"/>
    <w:rsid w:val="7939F845"/>
    <w:rsid w:val="793F3D34"/>
    <w:rsid w:val="79699218"/>
    <w:rsid w:val="7977BC91"/>
    <w:rsid w:val="798928BA"/>
    <w:rsid w:val="79F363F5"/>
    <w:rsid w:val="7A380A4C"/>
    <w:rsid w:val="7A508A79"/>
    <w:rsid w:val="7A6E56C7"/>
    <w:rsid w:val="7AC6B502"/>
    <w:rsid w:val="7ADE422D"/>
    <w:rsid w:val="7AFEBFE4"/>
    <w:rsid w:val="7B09D18A"/>
    <w:rsid w:val="7B32078C"/>
    <w:rsid w:val="7BD9F854"/>
    <w:rsid w:val="7BF80343"/>
    <w:rsid w:val="7C8EEE09"/>
    <w:rsid w:val="7CABAF7F"/>
    <w:rsid w:val="7CAC860A"/>
    <w:rsid w:val="7CAF5D53"/>
    <w:rsid w:val="7D167099"/>
    <w:rsid w:val="7D3A1AA3"/>
    <w:rsid w:val="7D3BD968"/>
    <w:rsid w:val="7D575790"/>
    <w:rsid w:val="7D7E64D8"/>
    <w:rsid w:val="7E157851"/>
    <w:rsid w:val="7E213022"/>
    <w:rsid w:val="7E389246"/>
    <w:rsid w:val="7E48ECFB"/>
    <w:rsid w:val="7E509C6E"/>
    <w:rsid w:val="7E531B3A"/>
    <w:rsid w:val="7E7D5B5E"/>
    <w:rsid w:val="7EBCD58D"/>
    <w:rsid w:val="7F1EEEC5"/>
    <w:rsid w:val="7F44F5E3"/>
    <w:rsid w:val="7F7D7012"/>
    <w:rsid w:val="7FA1C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A3CDB"/>
  <w15:docId w15:val="{1D265CD6-F5F3-4147-B625-7357F61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BD9"/>
    <w:rPr>
      <w:rFonts w:ascii="Arial Narrow" w:eastAsia="Arial Narrow" w:hAnsi="Arial Narrow" w:cs="Arial Narrow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4B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line="608" w:lineRule="exact"/>
      <w:ind w:left="20"/>
    </w:pPr>
    <w:rPr>
      <w:rFonts w:ascii="Lucida Sans Unicode" w:eastAsia="Lucida Sans Unicode" w:hAnsi="Lucida Sans Unicode" w:cs="Lucida Sans Unicode"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32" w:lineRule="exact"/>
      <w:ind w:left="71"/>
    </w:pPr>
  </w:style>
  <w:style w:type="paragraph" w:styleId="Kopfzeile">
    <w:name w:val="header"/>
    <w:basedOn w:val="Standard"/>
    <w:link w:val="KopfzeileZchn"/>
    <w:uiPriority w:val="99"/>
    <w:unhideWhenUsed/>
    <w:rsid w:val="003B5A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5A83"/>
    <w:rPr>
      <w:rFonts w:ascii="Arial Narrow" w:eastAsia="Arial Narrow" w:hAnsi="Arial Narrow" w:cs="Arial Narrow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B5A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5A83"/>
    <w:rPr>
      <w:rFonts w:ascii="Arial Narrow" w:eastAsia="Arial Narrow" w:hAnsi="Arial Narrow" w:cs="Arial Narrow"/>
      <w:lang w:val="de-DE"/>
    </w:rPr>
  </w:style>
  <w:style w:type="paragraph" w:styleId="Kommentartext">
    <w:name w:val="annotation text"/>
    <w:aliases w:val="Annotation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aliases w:val="Annotationtext Zchn"/>
    <w:basedOn w:val="Absatz-Standardschriftart"/>
    <w:link w:val="Kommentartext"/>
    <w:uiPriority w:val="99"/>
    <w:rPr>
      <w:rFonts w:ascii="Arial Narrow" w:eastAsia="Arial Narrow" w:hAnsi="Arial Narrow" w:cs="Arial Narrow"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8507B8"/>
    <w:pPr>
      <w:widowControl/>
      <w:autoSpaceDE/>
      <w:autoSpaceDN/>
    </w:pPr>
    <w:rPr>
      <w:rFonts w:ascii="Arial Narrow" w:eastAsia="Arial Narrow" w:hAnsi="Arial Narrow" w:cs="Arial Narrow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0BD9"/>
    <w:rPr>
      <w:rFonts w:ascii="Arial Narrow" w:eastAsia="Arial Narrow" w:hAnsi="Arial Narrow" w:cs="Arial Narrow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1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134"/>
    <w:rPr>
      <w:rFonts w:ascii="Arial Narrow" w:eastAsia="Arial Narrow" w:hAnsi="Arial Narrow" w:cs="Arial Narrow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DD3F9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3F9C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Theme="majorEastAsia" w:cstheme="majorBidi"/>
      <w:color w:val="365F91" w:themeColor="accent1" w:themeShade="BF"/>
    </w:rPr>
  </w:style>
  <w:style w:type="character" w:styleId="Erwhnung">
    <w:name w:val="Mention"/>
    <w:basedOn w:val="Absatz-Standardschriftart"/>
    <w:uiPriority w:val="99"/>
    <w:unhideWhenUsed/>
    <w:rsid w:val="001228BF"/>
    <w:rPr>
      <w:color w:val="2B579A"/>
      <w:shd w:val="clear" w:color="auto" w:fill="E1DFDD"/>
    </w:rPr>
  </w:style>
  <w:style w:type="character" w:customStyle="1" w:styleId="cf01">
    <w:name w:val="cf01"/>
    <w:basedOn w:val="Absatz-Standardschriftart"/>
    <w:rsid w:val="007047EA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4B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med.ncbi.nlm.nih.gov/37976891" TargetMode="External"/><Relationship Id="rId18" Type="http://schemas.openxmlformats.org/officeDocument/2006/relationships/hyperlink" Target="https://www.merck.com/news/merck-announces-fda-acceptance-of-biologics-license-application-for-clesrovimab-an-investigational-long-acting-monoclonal-antibody-designed-to-protect-infants-from-rsv-disease-during-their-first-rsv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12391234/" TargetMode="External"/><Relationship Id="rId17" Type="http://schemas.openxmlformats.org/officeDocument/2006/relationships/hyperlink" Target="https://classic.clinicaltrials.gov/ct2/show/NCT04938830?term=mk-1654-007&amp;draw=2&amp;rank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rck.com/news/mercks-clesrovimab-mk-1654-an-investigational-respiratory-syncytial-virus-rsv-preventative-monoclonal-antibody-significantly-reduced-incidence-of-rsv-disease-and-hospitalization-in-heal/" TargetMode="External"/><Relationship Id="rId20" Type="http://schemas.openxmlformats.org/officeDocument/2006/relationships/hyperlink" Target="https://www.rki.de/DE/Aktuelles/Publikationen/Epidemiologisches-Bulletin/2024/26_24.pdf?__blob=publicationFile&amp;v=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med.ncbi.nlm.nih.gov/3151547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linicaltrials.gov/study/NCT04767373?term=clesrovimab&amp;rank=2&amp;tab=resul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iew.officeapps.live.com/op/view.aspx?src=https%3A%2F%2Fwww.ema.europa.eu%2Fen%2Fdocuments%2Freport%2Fapplications-new-human-medicines-under-evaluation-january-2025_en.xlsx&amp;wdOrigin=BROWSELI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acip/downloads/slides-2024-10-23-24/02-RSV-Mat-Peds-Sinha-508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9ae99a-0496-4898-989f-e27614239e6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77F0-0AF3-452B-8097-46EFA6FF5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F5A1F-BD30-4106-8FAB-DD6DC9420E14}">
  <ds:schemaRefs>
    <ds:schemaRef ds:uri="http://schemas.microsoft.com/office/2006/metadata/properties"/>
    <ds:schemaRef ds:uri="http://schemas.microsoft.com/office/infopath/2007/PartnerControls"/>
    <ds:schemaRef ds:uri="fe9ae99a-0496-4898-989f-e27614239e60"/>
  </ds:schemaRefs>
</ds:datastoreItem>
</file>

<file path=customXml/itemProps3.xml><?xml version="1.0" encoding="utf-8"?>
<ds:datastoreItem xmlns:ds="http://schemas.openxmlformats.org/officeDocument/2006/customXml" ds:itemID="{9FD07DE3-771D-4522-8882-53220E72B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DFD91-6906-4157-8ADC-AA63B78B7F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0de4ec-48a8-43a6-be74-e31274e2060d}" enabled="0" method="" siteId="{a00de4ec-48a8-43a6-be74-e31274e206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2680</Words>
  <Characters>16886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Klinikum der Universitaet Muenchen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Massenkeil</dc:creator>
  <cp:keywords/>
  <cp:lastModifiedBy>Johanna Berndt</cp:lastModifiedBy>
  <cp:revision>5</cp:revision>
  <cp:lastPrinted>2025-08-08T08:58:00Z</cp:lastPrinted>
  <dcterms:created xsi:type="dcterms:W3CDTF">2025-08-08T10:03:00Z</dcterms:created>
  <dcterms:modified xsi:type="dcterms:W3CDTF">2025-09-17T08:50:00Z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20.5.173</vt:lpwstr>
  </property>
  <property fmtid="{D5CDD505-2E9C-101B-9397-08002B2CF9AE}" pid="6" name="SourceModified">
    <vt:lpwstr>D:20220919143046</vt:lpwstr>
  </property>
  <property fmtid="{D5CDD505-2E9C-101B-9397-08002B2CF9AE}" pid="7" name="MSIP_Label_2d3fcf4b-142d-4286-8d87-e70792be3cec_Enabled">
    <vt:lpwstr>true</vt:lpwstr>
  </property>
  <property fmtid="{D5CDD505-2E9C-101B-9397-08002B2CF9AE}" pid="8" name="MSIP_Label_2d3fcf4b-142d-4286-8d87-e70792be3cec_SetDate">
    <vt:lpwstr>2022-10-04T12:38:04Z</vt:lpwstr>
  </property>
  <property fmtid="{D5CDD505-2E9C-101B-9397-08002B2CF9AE}" pid="9" name="MSIP_Label_2d3fcf4b-142d-4286-8d87-e70792be3cec_Method">
    <vt:lpwstr>Privileged</vt:lpwstr>
  </property>
  <property fmtid="{D5CDD505-2E9C-101B-9397-08002B2CF9AE}" pid="10" name="MSIP_Label_2d3fcf4b-142d-4286-8d87-e70792be3cec_Name">
    <vt:lpwstr>German - Not Classified</vt:lpwstr>
  </property>
  <property fmtid="{D5CDD505-2E9C-101B-9397-08002B2CF9AE}" pid="11" name="MSIP_Label_2d3fcf4b-142d-4286-8d87-e70792be3cec_SiteId">
    <vt:lpwstr>a00de4ec-48a8-43a6-be74-e31274e2060d</vt:lpwstr>
  </property>
  <property fmtid="{D5CDD505-2E9C-101B-9397-08002B2CF9AE}" pid="12" name="MSIP_Label_2d3fcf4b-142d-4286-8d87-e70792be3cec_ActionId">
    <vt:lpwstr>3ff64e16-b186-4151-9ac4-f4648f0c550d</vt:lpwstr>
  </property>
  <property fmtid="{D5CDD505-2E9C-101B-9397-08002B2CF9AE}" pid="13" name="MSIP_Label_2d3fcf4b-142d-4286-8d87-e70792be3cec_ContentBits">
    <vt:lpwstr>0</vt:lpwstr>
  </property>
  <property fmtid="{D5CDD505-2E9C-101B-9397-08002B2CF9AE}" pid="14" name="MerckAIPLabel">
    <vt:lpwstr>NotClassified</vt:lpwstr>
  </property>
  <property fmtid="{D5CDD505-2E9C-101B-9397-08002B2CF9AE}" pid="15" name="MerckAIPDataExchange">
    <vt:lpwstr>!MRKMIP@NotClassified</vt:lpwstr>
  </property>
  <property fmtid="{D5CDD505-2E9C-101B-9397-08002B2CF9AE}" pid="16" name="ContentTypeId">
    <vt:lpwstr>0x01010054E8A8321EAC77429F0AE51B49A58B02</vt:lpwstr>
  </property>
  <property fmtid="{D5CDD505-2E9C-101B-9397-08002B2CF9AE}" pid="17" name="MediaServiceImageTags">
    <vt:lpwstr/>
  </property>
  <property fmtid="{D5CDD505-2E9C-101B-9397-08002B2CF9AE}" pid="18" name="_NewReviewCycle">
    <vt:lpwstr/>
  </property>
  <property fmtid="{D5CDD505-2E9C-101B-9397-08002B2CF9AE}" pid="19" name="Order">
    <vt:r8>57200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xd_Signature">
    <vt:bool>false</vt:bool>
  </property>
  <property fmtid="{D5CDD505-2E9C-101B-9397-08002B2CF9AE}" pid="25" name="TriggerFlowInfo">
    <vt:lpwstr/>
  </property>
  <property fmtid="{D5CDD505-2E9C-101B-9397-08002B2CF9AE}" pid="26" name="_AdHocReviewCycleID">
    <vt:i4>323662160</vt:i4>
  </property>
  <property fmtid="{D5CDD505-2E9C-101B-9397-08002B2CF9AE}" pid="27" name="_EmailSubject">
    <vt:lpwstr>NUB-Antrag für Clesrovimab (Enflonsia®)</vt:lpwstr>
  </property>
  <property fmtid="{D5CDD505-2E9C-101B-9397-08002B2CF9AE}" pid="28" name="_AuthorEmail">
    <vt:lpwstr>thorsten.christian.reuter@msd.de</vt:lpwstr>
  </property>
  <property fmtid="{D5CDD505-2E9C-101B-9397-08002B2CF9AE}" pid="29" name="_AuthorEmailDisplayName">
    <vt:lpwstr>Reuter, Thorsten Christian</vt:lpwstr>
  </property>
  <property fmtid="{D5CDD505-2E9C-101B-9397-08002B2CF9AE}" pid="30" name="_ReviewingToolsShownOnce">
    <vt:lpwstr/>
  </property>
</Properties>
</file>