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7342848E" w14:textId="77777777" w:rsidTr="00C64058">
        <w:tc>
          <w:tcPr>
            <w:tcW w:w="9212" w:type="dxa"/>
          </w:tcPr>
          <w:p w14:paraId="3856C14D" w14:textId="77777777" w:rsidR="008E6675" w:rsidRPr="00434AB5" w:rsidRDefault="008E6675" w:rsidP="002005AF">
            <w:pPr>
              <w:rPr>
                <w:rFonts w:ascii="Arial Narrow" w:hAnsi="Arial Narrow"/>
                <w:b/>
              </w:rPr>
            </w:pPr>
            <w:r w:rsidRPr="00434AB5">
              <w:rPr>
                <w:rFonts w:ascii="Arial Narrow" w:hAnsi="Arial Narrow"/>
                <w:b/>
                <w:sz w:val="22"/>
              </w:rPr>
              <w:t xml:space="preserve">Haben Sie externe Hilfestellungen </w:t>
            </w:r>
            <w:r w:rsidR="002333FF" w:rsidRPr="00434AB5">
              <w:rPr>
                <w:rFonts w:ascii="Arial Narrow" w:hAnsi="Arial Narrow"/>
                <w:b/>
                <w:sz w:val="22"/>
              </w:rPr>
              <w:t xml:space="preserve">zum Ausfüllen der Formblätter </w:t>
            </w:r>
            <w:r w:rsidRPr="00434AB5">
              <w:rPr>
                <w:rFonts w:ascii="Arial Narrow" w:hAnsi="Arial Narrow"/>
                <w:b/>
                <w:sz w:val="22"/>
              </w:rPr>
              <w:t>in Anspruch genommen</w:t>
            </w:r>
            <w:r w:rsidR="002005AF" w:rsidRPr="00434AB5">
              <w:rPr>
                <w:rFonts w:ascii="Arial Narrow" w:hAnsi="Arial Narrow"/>
                <w:b/>
                <w:sz w:val="22"/>
              </w:rPr>
              <w:t>?</w:t>
            </w:r>
            <w:r w:rsidRPr="00434AB5">
              <w:rPr>
                <w:rFonts w:ascii="Arial Narrow" w:hAnsi="Arial Narrow"/>
                <w:b/>
                <w:sz w:val="22"/>
              </w:rPr>
              <w:t xml:space="preserve">  Wenn ja, bitte geben Sie an, welche Hilfestellung</w:t>
            </w:r>
            <w:r w:rsidR="002005AF" w:rsidRPr="00434AB5">
              <w:rPr>
                <w:rFonts w:ascii="Arial Narrow" w:hAnsi="Arial Narrow"/>
                <w:b/>
                <w:sz w:val="22"/>
              </w:rPr>
              <w:t xml:space="preserve"> Sie in Anspruch genommen haben</w:t>
            </w:r>
            <w:r w:rsidRPr="00434AB5">
              <w:rPr>
                <w:rFonts w:ascii="Arial Narrow" w:hAnsi="Arial Narrow"/>
                <w:b/>
                <w:sz w:val="22"/>
              </w:rPr>
              <w:t>?</w:t>
            </w:r>
          </w:p>
        </w:tc>
      </w:tr>
      <w:tr w:rsidR="00C64058" w:rsidRPr="00434AB5" w14:paraId="78093325" w14:textId="77777777" w:rsidTr="00C64058">
        <w:tc>
          <w:tcPr>
            <w:tcW w:w="9212" w:type="dxa"/>
          </w:tcPr>
          <w:p w14:paraId="000C6EF4" w14:textId="77777777" w:rsidR="00C64058" w:rsidRPr="00434AB5" w:rsidRDefault="00C64058" w:rsidP="002005AF">
            <w:pPr>
              <w:rPr>
                <w:rFonts w:ascii="Arial Narrow" w:hAnsi="Arial Narrow"/>
                <w:b/>
                <w:sz w:val="22"/>
              </w:rPr>
            </w:pPr>
          </w:p>
        </w:tc>
      </w:tr>
    </w:tbl>
    <w:p w14:paraId="1B73E9CE" w14:textId="77777777" w:rsidR="008E6675" w:rsidRPr="00434AB5"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69DF06E3" w14:textId="77777777" w:rsidTr="000B5149">
        <w:tc>
          <w:tcPr>
            <w:tcW w:w="9212" w:type="dxa"/>
          </w:tcPr>
          <w:p w14:paraId="48DD38F6" w14:textId="62BF7CF8" w:rsidR="008E6675" w:rsidRPr="00434AB5" w:rsidRDefault="008E6675" w:rsidP="005638EB">
            <w:pPr>
              <w:rPr>
                <w:rFonts w:ascii="Arial Narrow" w:hAnsi="Arial Narrow"/>
                <w:b/>
              </w:rPr>
            </w:pPr>
            <w:r w:rsidRPr="00434AB5">
              <w:rPr>
                <w:rFonts w:ascii="Arial Narrow" w:hAnsi="Arial Narrow"/>
                <w:b/>
                <w:sz w:val="22"/>
              </w:rPr>
              <w:t>Angefragte Untersuchungs- und Beh</w:t>
            </w:r>
            <w:r w:rsidR="002333FF" w:rsidRPr="00434AB5">
              <w:rPr>
                <w:rFonts w:ascii="Arial Narrow" w:hAnsi="Arial Narrow"/>
                <w:b/>
                <w:sz w:val="22"/>
              </w:rPr>
              <w:t>andlungsmethode</w:t>
            </w:r>
          </w:p>
        </w:tc>
      </w:tr>
      <w:tr w:rsidR="00434AB5" w:rsidRPr="00434AB5" w14:paraId="3534B4A0" w14:textId="77777777" w:rsidTr="000B5149">
        <w:tc>
          <w:tcPr>
            <w:tcW w:w="9212" w:type="dxa"/>
          </w:tcPr>
          <w:p w14:paraId="2C182448" w14:textId="194EB307" w:rsidR="000B5149" w:rsidRPr="00434AB5" w:rsidRDefault="00F77639" w:rsidP="000B5149">
            <w:pPr>
              <w:rPr>
                <w:rFonts w:ascii="Arial Narrow" w:hAnsi="Arial Narrow"/>
                <w:sz w:val="22"/>
              </w:rPr>
            </w:pPr>
            <w:r w:rsidRPr="00434AB5">
              <w:rPr>
                <w:rFonts w:ascii="Arial Narrow" w:hAnsi="Arial Narrow"/>
                <w:sz w:val="22"/>
              </w:rPr>
              <w:t>Angiotensin-II-Acetat</w:t>
            </w:r>
          </w:p>
        </w:tc>
      </w:tr>
    </w:tbl>
    <w:p w14:paraId="42022921" w14:textId="77777777" w:rsidR="008E6675" w:rsidRPr="00434AB5" w:rsidRDefault="008E6675"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16B6F275" w14:textId="77777777" w:rsidTr="00F77639">
        <w:tc>
          <w:tcPr>
            <w:tcW w:w="9212" w:type="dxa"/>
          </w:tcPr>
          <w:p w14:paraId="67F0AA02" w14:textId="4EF70D85" w:rsidR="008E6675" w:rsidRPr="00434AB5" w:rsidRDefault="008E6675" w:rsidP="00596F9A">
            <w:pPr>
              <w:tabs>
                <w:tab w:val="left" w:pos="7465"/>
              </w:tabs>
              <w:rPr>
                <w:rFonts w:ascii="Arial Narrow" w:hAnsi="Arial Narrow"/>
                <w:b/>
              </w:rPr>
            </w:pPr>
            <w:r w:rsidRPr="00434AB5">
              <w:rPr>
                <w:rFonts w:ascii="Arial Narrow" w:hAnsi="Arial Narrow"/>
                <w:b/>
                <w:sz w:val="22"/>
              </w:rPr>
              <w:t>Alternative Bezeichnung(en) der Methode</w:t>
            </w:r>
            <w:r w:rsidRPr="00434AB5">
              <w:rPr>
                <w:rFonts w:ascii="Arial Narrow" w:hAnsi="Arial Narrow"/>
                <w:b/>
                <w:sz w:val="22"/>
              </w:rPr>
              <w:tab/>
            </w:r>
          </w:p>
        </w:tc>
      </w:tr>
      <w:tr w:rsidR="00434AB5" w:rsidRPr="00434AB5" w14:paraId="6AA1CD49" w14:textId="77777777" w:rsidTr="00F77639">
        <w:tc>
          <w:tcPr>
            <w:tcW w:w="9212" w:type="dxa"/>
          </w:tcPr>
          <w:p w14:paraId="03804348" w14:textId="1C1BD0FD" w:rsidR="00F77639" w:rsidRPr="00434AB5" w:rsidRDefault="00F77639" w:rsidP="00F77639">
            <w:pPr>
              <w:rPr>
                <w:rFonts w:ascii="Arial Narrow" w:hAnsi="Arial Narrow"/>
              </w:rPr>
            </w:pPr>
            <w:r w:rsidRPr="00434AB5">
              <w:rPr>
                <w:rFonts w:ascii="Arial Narrow" w:hAnsi="Arial Narrow"/>
                <w:sz w:val="22"/>
              </w:rPr>
              <w:t>GIAPREZA</w:t>
            </w:r>
            <w:r w:rsidRPr="003347F9">
              <w:rPr>
                <w:rFonts w:ascii="Arial Narrow" w:hAnsi="Arial Narrow"/>
                <w:sz w:val="22"/>
                <w:vertAlign w:val="superscript"/>
              </w:rPr>
              <w:t>®</w:t>
            </w:r>
          </w:p>
        </w:tc>
      </w:tr>
    </w:tbl>
    <w:p w14:paraId="5C4D6932" w14:textId="77777777" w:rsidR="004C4F82" w:rsidRPr="00434AB5"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34AB5" w:rsidRDefault="004C4F82" w:rsidP="004C4F82">
            <w:pPr>
              <w:tabs>
                <w:tab w:val="left" w:pos="7465"/>
              </w:tabs>
              <w:rPr>
                <w:rFonts w:ascii="Arial Narrow" w:hAnsi="Arial Narrow"/>
                <w:b/>
                <w:sz w:val="22"/>
              </w:rPr>
            </w:pPr>
            <w:r w:rsidRPr="00434AB5">
              <w:rPr>
                <w:rFonts w:ascii="Arial Narrow" w:hAnsi="Arial Narrow"/>
                <w:b/>
                <w:sz w:val="22"/>
              </w:rPr>
              <w:t>Beruht die neue Untersuchungs- und Behandlungsmethode vollständig oder in Teilen auf dem Einsatz eines Medizinproduktes?</w:t>
            </w:r>
            <w:r w:rsidRPr="00434AB5">
              <w:rPr>
                <w:rFonts w:ascii="Arial Narrow" w:hAnsi="Arial Narrow"/>
                <w:b/>
                <w:sz w:val="22"/>
              </w:rPr>
              <w:tab/>
            </w:r>
          </w:p>
        </w:tc>
      </w:tr>
      <w:tr w:rsidR="00434AB5" w:rsidRPr="00434AB5"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4F1853C0" w:rsidR="004C4F82" w:rsidRPr="00434AB5" w:rsidRDefault="008B7669" w:rsidP="008B7669">
            <w:pPr>
              <w:rPr>
                <w:rFonts w:ascii="Arial Narrow" w:hAnsi="Arial Narrow"/>
                <w:sz w:val="22"/>
              </w:rPr>
            </w:pPr>
            <w:r w:rsidRPr="00434AB5">
              <w:rPr>
                <w:rFonts w:ascii="Arial Narrow" w:hAnsi="Arial Narrow"/>
                <w:sz w:val="22"/>
              </w:rPr>
              <w:t>[</w:t>
            </w:r>
            <w:r w:rsidRPr="00434AB5">
              <w:rPr>
                <w:rFonts w:ascii="Arial Narrow" w:hAnsi="Arial Narrow"/>
                <w:sz w:val="22"/>
                <w:highlight w:val="yellow"/>
              </w:rPr>
              <w:t>nein ankreuzen</w:t>
            </w:r>
            <w:r w:rsidRPr="00434AB5">
              <w:rPr>
                <w:rFonts w:ascii="Arial Narrow" w:hAnsi="Arial Narrow"/>
                <w:sz w:val="22"/>
              </w:rPr>
              <w:t>]</w:t>
            </w:r>
          </w:p>
        </w:tc>
      </w:tr>
    </w:tbl>
    <w:p w14:paraId="7F1AD41E"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5055E8B5" w14:textId="77777777" w:rsidTr="0036178C">
        <w:tc>
          <w:tcPr>
            <w:tcW w:w="9212" w:type="dxa"/>
          </w:tcPr>
          <w:p w14:paraId="43488653" w14:textId="1D568D83" w:rsidR="00492AB4" w:rsidRPr="00434AB5" w:rsidRDefault="00492AB4" w:rsidP="006354B6">
            <w:pPr>
              <w:tabs>
                <w:tab w:val="left" w:pos="7465"/>
              </w:tabs>
              <w:rPr>
                <w:rFonts w:ascii="Arial Narrow" w:hAnsi="Arial Narrow"/>
                <w:b/>
              </w:rPr>
            </w:pPr>
            <w:r w:rsidRPr="00434AB5">
              <w:rPr>
                <w:rFonts w:ascii="Arial Narrow" w:hAnsi="Arial Narrow"/>
                <w:b/>
                <w:sz w:val="22"/>
              </w:rPr>
              <w:t>Wurde für diese angefrag</w:t>
            </w:r>
            <w:r w:rsidR="00DC6CBD" w:rsidRPr="00434AB5">
              <w:rPr>
                <w:rFonts w:ascii="Arial Narrow" w:hAnsi="Arial Narrow"/>
                <w:b/>
                <w:sz w:val="22"/>
              </w:rPr>
              <w:t>te Untersuchungs- und Behandlungsmethode von Ihrem Kranke</w:t>
            </w:r>
            <w:r w:rsidR="00DB14F4" w:rsidRPr="00434AB5">
              <w:rPr>
                <w:rFonts w:ascii="Arial Narrow" w:hAnsi="Arial Narrow"/>
                <w:b/>
                <w:sz w:val="22"/>
              </w:rPr>
              <w:t>nhaus bereits vor dem 01.01.202</w:t>
            </w:r>
            <w:r w:rsidR="000B5149" w:rsidRPr="00434AB5">
              <w:rPr>
                <w:rFonts w:ascii="Arial Narrow" w:hAnsi="Arial Narrow"/>
                <w:b/>
                <w:sz w:val="22"/>
              </w:rPr>
              <w:t>4</w:t>
            </w:r>
            <w:r w:rsidR="00DC6CBD" w:rsidRPr="00434AB5">
              <w:rPr>
                <w:rFonts w:ascii="Arial Narrow" w:hAnsi="Arial Narrow"/>
                <w:b/>
                <w:sz w:val="22"/>
              </w:rPr>
              <w:t xml:space="preserve"> eine Anfrage gemäß §6 Abs. 2 </w:t>
            </w:r>
            <w:proofErr w:type="spellStart"/>
            <w:r w:rsidR="00DC6CBD" w:rsidRPr="00434AB5">
              <w:rPr>
                <w:rFonts w:ascii="Arial Narrow" w:hAnsi="Arial Narrow"/>
                <w:b/>
                <w:sz w:val="22"/>
              </w:rPr>
              <w:t>KHEntG</w:t>
            </w:r>
            <w:proofErr w:type="spellEnd"/>
            <w:r w:rsidR="00DC6CBD" w:rsidRPr="00434AB5">
              <w:rPr>
                <w:rFonts w:ascii="Arial Narrow" w:hAnsi="Arial Narrow"/>
                <w:b/>
                <w:sz w:val="22"/>
              </w:rPr>
              <w:t xml:space="preserve"> an das </w:t>
            </w:r>
            <w:proofErr w:type="spellStart"/>
            <w:r w:rsidR="00DC6CBD" w:rsidRPr="00434AB5">
              <w:rPr>
                <w:rFonts w:ascii="Arial Narrow" w:hAnsi="Arial Narrow"/>
                <w:b/>
                <w:sz w:val="22"/>
              </w:rPr>
              <w:t>InEK</w:t>
            </w:r>
            <w:proofErr w:type="spellEnd"/>
            <w:r w:rsidR="00DC6CBD" w:rsidRPr="00434AB5">
              <w:rPr>
                <w:rFonts w:ascii="Arial Narrow" w:hAnsi="Arial Narrow"/>
                <w:b/>
                <w:sz w:val="22"/>
              </w:rPr>
              <w:t xml:space="preserve"> übermittelt</w:t>
            </w:r>
            <w:r w:rsidR="002333FF" w:rsidRPr="00434AB5">
              <w:rPr>
                <w:rFonts w:ascii="Arial Narrow" w:hAnsi="Arial Narrow"/>
                <w:b/>
                <w:sz w:val="22"/>
              </w:rPr>
              <w:t>?</w:t>
            </w:r>
          </w:p>
        </w:tc>
      </w:tr>
      <w:tr w:rsidR="00434AB5" w:rsidRPr="00434AB5" w14:paraId="3F239A32" w14:textId="77777777" w:rsidTr="0036178C">
        <w:tc>
          <w:tcPr>
            <w:tcW w:w="9212" w:type="dxa"/>
          </w:tcPr>
          <w:p w14:paraId="7DD0679B" w14:textId="264FFD18" w:rsidR="000B5149" w:rsidRPr="00434AB5" w:rsidRDefault="00ED79AA" w:rsidP="00DB14F4">
            <w:pPr>
              <w:rPr>
                <w:rFonts w:ascii="Arial Narrow" w:hAnsi="Arial Narrow"/>
                <w:sz w:val="22"/>
                <w:highlight w:val="yellow"/>
              </w:rPr>
            </w:pPr>
            <w:r w:rsidRPr="00434AB5">
              <w:rPr>
                <w:rFonts w:ascii="Arial Narrow" w:hAnsi="Arial Narrow"/>
                <w:sz w:val="22"/>
                <w:highlight w:val="yellow"/>
              </w:rPr>
              <w:t>[</w:t>
            </w:r>
            <w:r w:rsidR="00DC6CBD" w:rsidRPr="00434AB5">
              <w:rPr>
                <w:rFonts w:ascii="Arial Narrow" w:hAnsi="Arial Narrow"/>
                <w:sz w:val="22"/>
                <w:highlight w:val="yellow"/>
              </w:rPr>
              <w:t>Ja/nein</w:t>
            </w:r>
            <w:r w:rsidRPr="00434AB5">
              <w:rPr>
                <w:rFonts w:ascii="Arial Narrow" w:hAnsi="Arial Narrow"/>
                <w:sz w:val="22"/>
                <w:highlight w:val="yellow"/>
              </w:rPr>
              <w:t xml:space="preserve"> ankreuzen.</w:t>
            </w:r>
            <w:r w:rsidR="006C656D" w:rsidRPr="00434AB5">
              <w:rPr>
                <w:rFonts w:ascii="Arial Narrow" w:hAnsi="Arial Narrow"/>
                <w:sz w:val="22"/>
                <w:highlight w:val="yellow"/>
              </w:rPr>
              <w:t xml:space="preserve"> </w:t>
            </w:r>
            <w:r w:rsidR="00C21654" w:rsidRPr="00434AB5">
              <w:rPr>
                <w:rFonts w:ascii="Arial Narrow" w:hAnsi="Arial Narrow"/>
                <w:sz w:val="22"/>
                <w:highlight w:val="yellow"/>
              </w:rPr>
              <w:t xml:space="preserve">Bei </w:t>
            </w:r>
            <w:proofErr w:type="gramStart"/>
            <w:r w:rsidR="00C21654" w:rsidRPr="00434AB5">
              <w:rPr>
                <w:rFonts w:ascii="Arial Narrow" w:hAnsi="Arial Narrow"/>
                <w:sz w:val="22"/>
                <w:highlight w:val="yellow"/>
              </w:rPr>
              <w:t>ja Nummer</w:t>
            </w:r>
            <w:proofErr w:type="gramEnd"/>
            <w:r w:rsidR="00C21654" w:rsidRPr="00434AB5">
              <w:rPr>
                <w:rFonts w:ascii="Arial Narrow" w:hAnsi="Arial Narrow"/>
                <w:sz w:val="22"/>
                <w:highlight w:val="yellow"/>
              </w:rPr>
              <w:t xml:space="preserve"> aus Liste</w:t>
            </w:r>
            <w:r w:rsidRPr="00434AB5">
              <w:rPr>
                <w:rFonts w:ascii="Arial Narrow" w:hAnsi="Arial Narrow"/>
                <w:sz w:val="22"/>
                <w:highlight w:val="yellow"/>
              </w:rPr>
              <w:t xml:space="preserve"> auswählen]</w:t>
            </w:r>
          </w:p>
        </w:tc>
      </w:tr>
    </w:tbl>
    <w:p w14:paraId="53DF57CA" w14:textId="77777777" w:rsidR="00492AB4" w:rsidRPr="00434AB5"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0823808B" w14:textId="77777777">
        <w:tc>
          <w:tcPr>
            <w:tcW w:w="9212" w:type="dxa"/>
          </w:tcPr>
          <w:p w14:paraId="3A37C23D" w14:textId="6AFD43C7" w:rsidR="008E6675" w:rsidRPr="00434AB5" w:rsidRDefault="008E6675" w:rsidP="005638EB">
            <w:pPr>
              <w:rPr>
                <w:rFonts w:ascii="Arial Narrow" w:hAnsi="Arial Narrow"/>
                <w:b/>
              </w:rPr>
            </w:pPr>
            <w:r w:rsidRPr="00434AB5">
              <w:rPr>
                <w:rFonts w:ascii="Arial Narrow" w:hAnsi="Arial Narrow"/>
                <w:b/>
                <w:sz w:val="22"/>
              </w:rPr>
              <w:t>Beschreibung der neuen Methode</w:t>
            </w:r>
          </w:p>
        </w:tc>
      </w:tr>
      <w:tr w:rsidR="00434AB5" w:rsidRPr="00434AB5" w14:paraId="5696BA9D" w14:textId="77777777">
        <w:tc>
          <w:tcPr>
            <w:tcW w:w="9212" w:type="dxa"/>
          </w:tcPr>
          <w:p w14:paraId="0B84B415" w14:textId="77777777" w:rsidR="00F77639" w:rsidRPr="00434AB5" w:rsidRDefault="0036325A" w:rsidP="005638EB">
            <w:pPr>
              <w:rPr>
                <w:rFonts w:ascii="Arial Narrow" w:hAnsi="Arial Narrow"/>
                <w:sz w:val="22"/>
              </w:rPr>
            </w:pPr>
            <w:r w:rsidRPr="00434AB5">
              <w:rPr>
                <w:rFonts w:ascii="Arial Narrow" w:hAnsi="Arial Narrow"/>
                <w:sz w:val="22"/>
              </w:rPr>
              <w:t xml:space="preserve">Wirkweise: </w:t>
            </w:r>
          </w:p>
          <w:p w14:paraId="58E8DF75" w14:textId="11AFA0EA" w:rsidR="00F77639" w:rsidRPr="00434AB5" w:rsidRDefault="00F77639" w:rsidP="00F77639">
            <w:pPr>
              <w:rPr>
                <w:rFonts w:ascii="Arial Narrow" w:hAnsi="Arial Narrow"/>
                <w:sz w:val="22"/>
              </w:rPr>
            </w:pPr>
            <w:r w:rsidRPr="00434AB5">
              <w:rPr>
                <w:rFonts w:ascii="Arial Narrow" w:hAnsi="Arial Narrow"/>
                <w:sz w:val="22"/>
              </w:rPr>
              <w:t>Angiotensin</w:t>
            </w:r>
            <w:r w:rsidR="00750595" w:rsidRPr="00434AB5">
              <w:rPr>
                <w:rFonts w:ascii="Arial Narrow" w:hAnsi="Arial Narrow"/>
                <w:sz w:val="22"/>
              </w:rPr>
              <w:t>-</w:t>
            </w:r>
            <w:r w:rsidRPr="00434AB5">
              <w:rPr>
                <w:rFonts w:ascii="Arial Narrow" w:hAnsi="Arial Narrow"/>
                <w:sz w:val="22"/>
              </w:rPr>
              <w:t>II erhöht den Blutdruck durch Gefäßverengung. Die erhöhte Freisetzung von Aldosteron durch die direkte Wirkung von Angiotensin</w:t>
            </w:r>
            <w:r w:rsidR="00750595" w:rsidRPr="00434AB5">
              <w:rPr>
                <w:rFonts w:ascii="Arial Narrow" w:hAnsi="Arial Narrow"/>
                <w:sz w:val="22"/>
              </w:rPr>
              <w:t>-</w:t>
            </w:r>
            <w:r w:rsidRPr="00434AB5">
              <w:rPr>
                <w:rFonts w:ascii="Arial Narrow" w:hAnsi="Arial Narrow"/>
                <w:sz w:val="22"/>
              </w:rPr>
              <w:t>II auf die Gefäßwand wird durch Bindung an den G-Protein-gekoppelten Angiotensin-II-Rezeptor Typ 1 auf den glatten Gefäßmuskelzellen vermittelt, wodurch die Ca2+/</w:t>
            </w:r>
            <w:proofErr w:type="spellStart"/>
            <w:r w:rsidRPr="00434AB5">
              <w:rPr>
                <w:rFonts w:ascii="Arial Narrow" w:hAnsi="Arial Narrow"/>
                <w:sz w:val="22"/>
              </w:rPr>
              <w:t>Calmodulin</w:t>
            </w:r>
            <w:proofErr w:type="spellEnd"/>
            <w:r w:rsidRPr="00434AB5">
              <w:rPr>
                <w:rFonts w:ascii="Arial Narrow" w:hAnsi="Arial Narrow"/>
                <w:sz w:val="22"/>
              </w:rPr>
              <w:t>-abhängige Phosphorylierung von Myosin stimuliert und eine Kontraktion des glatten Muskels verursacht wird.</w:t>
            </w:r>
          </w:p>
          <w:p w14:paraId="5AF7E5DD" w14:textId="77777777" w:rsidR="00F77639" w:rsidRPr="00434AB5" w:rsidRDefault="00F77639" w:rsidP="005638EB">
            <w:pPr>
              <w:rPr>
                <w:rFonts w:ascii="Arial Narrow" w:hAnsi="Arial Narrow"/>
                <w:sz w:val="22"/>
              </w:rPr>
            </w:pPr>
          </w:p>
          <w:p w14:paraId="149A4AB8" w14:textId="6F870D48" w:rsidR="008E6675" w:rsidRPr="00434AB5" w:rsidRDefault="0036325A" w:rsidP="005638EB">
            <w:pPr>
              <w:rPr>
                <w:rFonts w:ascii="Arial Narrow" w:hAnsi="Arial Narrow"/>
                <w:sz w:val="22"/>
              </w:rPr>
            </w:pPr>
            <w:r w:rsidRPr="00434AB5">
              <w:rPr>
                <w:rFonts w:ascii="Arial Narrow" w:hAnsi="Arial Narrow"/>
                <w:sz w:val="22"/>
              </w:rPr>
              <w:t xml:space="preserve">Evidenzlage: </w:t>
            </w:r>
          </w:p>
          <w:p w14:paraId="5E0711A1" w14:textId="275659A4" w:rsidR="00887940" w:rsidRDefault="009013F7" w:rsidP="00010B08">
            <w:pPr>
              <w:jc w:val="both"/>
              <w:rPr>
                <w:rFonts w:ascii="Arial Narrow" w:hAnsi="Arial Narrow"/>
                <w:sz w:val="22"/>
              </w:rPr>
            </w:pPr>
            <w:r w:rsidRPr="00434AB5">
              <w:rPr>
                <w:rFonts w:ascii="Arial Narrow" w:hAnsi="Arial Narrow"/>
                <w:sz w:val="22"/>
              </w:rPr>
              <w:t>Die</w:t>
            </w:r>
            <w:r w:rsidR="003F7920" w:rsidRPr="00434AB5">
              <w:rPr>
                <w:rFonts w:ascii="Arial Narrow" w:hAnsi="Arial Narrow"/>
                <w:sz w:val="22"/>
              </w:rPr>
              <w:t xml:space="preserve"> multizentrische,</w:t>
            </w:r>
            <w:r w:rsidRPr="00434AB5">
              <w:rPr>
                <w:rFonts w:ascii="Arial Narrow" w:hAnsi="Arial Narrow"/>
                <w:sz w:val="22"/>
              </w:rPr>
              <w:t xml:space="preserve"> randomisierte</w:t>
            </w:r>
            <w:r w:rsidR="003F7920" w:rsidRPr="00434AB5">
              <w:rPr>
                <w:rFonts w:ascii="Arial Narrow" w:hAnsi="Arial Narrow"/>
                <w:sz w:val="22"/>
              </w:rPr>
              <w:t xml:space="preserve">, doppelblinde </w:t>
            </w:r>
            <w:r w:rsidRPr="00434AB5">
              <w:rPr>
                <w:rFonts w:ascii="Arial Narrow" w:hAnsi="Arial Narrow"/>
                <w:sz w:val="22"/>
              </w:rPr>
              <w:t>Phase-III-Studie ATHOS-3 von Khanna et al. (2017) bestätigte die Wirksamkeit von Angiotensin</w:t>
            </w:r>
            <w:r w:rsidR="00434AB5" w:rsidRPr="00434AB5">
              <w:rPr>
                <w:rFonts w:ascii="Arial Narrow" w:hAnsi="Arial Narrow"/>
                <w:sz w:val="22"/>
              </w:rPr>
              <w:t>-II</w:t>
            </w:r>
            <w:r w:rsidRPr="00434AB5">
              <w:rPr>
                <w:rFonts w:ascii="Arial Narrow" w:hAnsi="Arial Narrow"/>
                <w:sz w:val="22"/>
              </w:rPr>
              <w:t xml:space="preserve"> anhand des primären Endpunktes „Ansprechrate auf den mittleren arteriellen Druck (MAP-Responder) nach dreistündiger Infusion“</w:t>
            </w:r>
            <w:r w:rsidR="005B2815" w:rsidRPr="005B2815">
              <w:rPr>
                <w:rFonts w:ascii="Arial" w:hAnsi="Arial" w:cs="Arial"/>
                <w:color w:val="333333"/>
                <w:sz w:val="21"/>
                <w:szCs w:val="21"/>
                <w:shd w:val="clear" w:color="auto" w:fill="FFFFFF"/>
              </w:rPr>
              <w:t xml:space="preserve"> </w:t>
            </w:r>
            <w:r w:rsidR="005B2815" w:rsidRPr="005B2815">
              <w:rPr>
                <w:rFonts w:ascii="Arial Narrow" w:hAnsi="Arial Narrow"/>
                <w:sz w:val="22"/>
              </w:rPr>
              <w:t>(MA</w:t>
            </w:r>
            <w:r w:rsidR="0021746C">
              <w:rPr>
                <w:rFonts w:ascii="Arial Narrow" w:hAnsi="Arial Narrow"/>
                <w:sz w:val="22"/>
              </w:rPr>
              <w:t>P</w:t>
            </w:r>
            <w:r w:rsidR="005B2815" w:rsidRPr="005B2815">
              <w:rPr>
                <w:rFonts w:ascii="Arial Narrow" w:hAnsi="Arial Narrow"/>
                <w:sz w:val="22"/>
              </w:rPr>
              <w:t xml:space="preserve"> ≥ 75 </w:t>
            </w:r>
            <w:proofErr w:type="spellStart"/>
            <w:r w:rsidR="005B2815" w:rsidRPr="005B2815">
              <w:rPr>
                <w:rFonts w:ascii="Arial Narrow" w:hAnsi="Arial Narrow"/>
                <w:sz w:val="22"/>
              </w:rPr>
              <w:t>mmHg</w:t>
            </w:r>
            <w:proofErr w:type="spellEnd"/>
            <w:r w:rsidR="005B2815" w:rsidRPr="005B2815">
              <w:rPr>
                <w:rFonts w:ascii="Arial Narrow" w:hAnsi="Arial Narrow"/>
                <w:sz w:val="22"/>
              </w:rPr>
              <w:t xml:space="preserve"> oder einen MA</w:t>
            </w:r>
            <w:r w:rsidR="00645797">
              <w:rPr>
                <w:rFonts w:ascii="Arial Narrow" w:hAnsi="Arial Narrow"/>
                <w:sz w:val="22"/>
              </w:rPr>
              <w:t>P</w:t>
            </w:r>
            <w:r w:rsidR="005B2815" w:rsidRPr="005B2815">
              <w:rPr>
                <w:rFonts w:ascii="Arial Narrow" w:hAnsi="Arial Narrow"/>
                <w:sz w:val="22"/>
              </w:rPr>
              <w:t xml:space="preserve">-Anstieg ≥ 10 </w:t>
            </w:r>
            <w:proofErr w:type="spellStart"/>
            <w:r w:rsidR="005B2815" w:rsidRPr="005B2815">
              <w:rPr>
                <w:rFonts w:ascii="Arial Narrow" w:hAnsi="Arial Narrow"/>
                <w:sz w:val="22"/>
              </w:rPr>
              <w:t>mmHg</w:t>
            </w:r>
            <w:proofErr w:type="spellEnd"/>
            <w:r w:rsidR="00645797">
              <w:rPr>
                <w:rFonts w:ascii="Arial Narrow" w:hAnsi="Arial Narrow"/>
                <w:sz w:val="22"/>
              </w:rPr>
              <w:t>)</w:t>
            </w:r>
            <w:r w:rsidRPr="00434AB5">
              <w:rPr>
                <w:rFonts w:ascii="Arial Narrow" w:hAnsi="Arial Narrow"/>
                <w:sz w:val="22"/>
              </w:rPr>
              <w:t xml:space="preserve">. </w:t>
            </w:r>
            <w:r w:rsidR="00887940">
              <w:rPr>
                <w:rFonts w:ascii="Arial Narrow" w:hAnsi="Arial Narrow"/>
                <w:sz w:val="22"/>
              </w:rPr>
              <w:t xml:space="preserve">Bei der Gesamtpopulation </w:t>
            </w:r>
            <w:r w:rsidR="00B60F3D">
              <w:rPr>
                <w:rFonts w:ascii="Arial Narrow" w:hAnsi="Arial Narrow"/>
                <w:sz w:val="22"/>
              </w:rPr>
              <w:t>(n=</w:t>
            </w:r>
            <w:r w:rsidR="00B60F3D" w:rsidRPr="00B60F3D">
              <w:rPr>
                <w:rFonts w:ascii="Arial Narrow" w:hAnsi="Arial Narrow"/>
                <w:sz w:val="22"/>
              </w:rPr>
              <w:t xml:space="preserve">321 Erwachsene mit einem septischen Schock oder einem anderen distributiven Schock, die trotz einer Flüssigkeits- und </w:t>
            </w:r>
            <w:proofErr w:type="spellStart"/>
            <w:r w:rsidR="00B60F3D" w:rsidRPr="00B60F3D">
              <w:rPr>
                <w:rFonts w:ascii="Arial Narrow" w:hAnsi="Arial Narrow"/>
                <w:sz w:val="22"/>
              </w:rPr>
              <w:t>Vasopressortherapie</w:t>
            </w:r>
            <w:proofErr w:type="spellEnd"/>
            <w:r w:rsidR="00B60F3D" w:rsidRPr="00B60F3D">
              <w:rPr>
                <w:rFonts w:ascii="Arial Narrow" w:hAnsi="Arial Narrow"/>
                <w:sz w:val="22"/>
              </w:rPr>
              <w:t xml:space="preserve"> an Hypotonie litten</w:t>
            </w:r>
            <w:r w:rsidR="00B60F3D">
              <w:rPr>
                <w:rFonts w:ascii="Arial Narrow" w:hAnsi="Arial Narrow"/>
                <w:sz w:val="22"/>
              </w:rPr>
              <w:t>)</w:t>
            </w:r>
            <w:r w:rsidR="00B60F3D" w:rsidRPr="00B60F3D">
              <w:rPr>
                <w:rFonts w:ascii="Arial Narrow" w:hAnsi="Arial Narrow"/>
                <w:sz w:val="22"/>
              </w:rPr>
              <w:t xml:space="preserve"> </w:t>
            </w:r>
            <w:r w:rsidR="00887940">
              <w:rPr>
                <w:rFonts w:ascii="Arial Narrow" w:hAnsi="Arial Narrow"/>
                <w:sz w:val="22"/>
              </w:rPr>
              <w:t>wurde d</w:t>
            </w:r>
            <w:r w:rsidR="00887940" w:rsidRPr="00887940">
              <w:rPr>
                <w:rFonts w:ascii="Arial Narrow" w:hAnsi="Arial Narrow"/>
                <w:sz w:val="22"/>
              </w:rPr>
              <w:t>er primäre Endpunkt von mehr Patienten in der Angiotensin-II-Gruppe (114 von 163 Patienten, 69,9 %) als in der Placebo-Gruppe (37 von 158 Patienten, 23,4 %) erreicht (Odds Ratio, 7,95; 95 % Konfidenzintervall [CI], 4,76 bis 13,3; P&lt;0,001).</w:t>
            </w:r>
          </w:p>
          <w:p w14:paraId="113967CE" w14:textId="432E47D6" w:rsidR="00E630F6" w:rsidRPr="00434AB5" w:rsidRDefault="00010B08" w:rsidP="00010B08">
            <w:pPr>
              <w:jc w:val="both"/>
              <w:rPr>
                <w:rFonts w:ascii="Arial Narrow" w:hAnsi="Arial Narrow"/>
                <w:sz w:val="22"/>
              </w:rPr>
            </w:pPr>
            <w:r w:rsidRPr="00434AB5">
              <w:rPr>
                <w:rFonts w:ascii="Arial Narrow" w:hAnsi="Arial Narrow"/>
                <w:sz w:val="22"/>
              </w:rPr>
              <w:t xml:space="preserve">Die Ergebnisse wurden </w:t>
            </w:r>
            <w:r w:rsidR="00887940">
              <w:rPr>
                <w:rFonts w:ascii="Arial Narrow" w:hAnsi="Arial Narrow"/>
                <w:sz w:val="22"/>
              </w:rPr>
              <w:t>zudem</w:t>
            </w:r>
            <w:r w:rsidR="00A10029">
              <w:rPr>
                <w:rFonts w:ascii="Arial Narrow" w:hAnsi="Arial Narrow"/>
                <w:sz w:val="22"/>
              </w:rPr>
              <w:t xml:space="preserve"> </w:t>
            </w:r>
            <w:r w:rsidRPr="00434AB5">
              <w:rPr>
                <w:rFonts w:ascii="Arial Narrow" w:hAnsi="Arial Narrow"/>
                <w:sz w:val="22"/>
              </w:rPr>
              <w:t xml:space="preserve">für eine relevante Teilpopulation von Patienten dargestellt, die mindestens zwei </w:t>
            </w:r>
            <w:proofErr w:type="spellStart"/>
            <w:r w:rsidRPr="00434AB5">
              <w:rPr>
                <w:rFonts w:ascii="Arial Narrow" w:hAnsi="Arial Narrow"/>
                <w:sz w:val="22"/>
              </w:rPr>
              <w:t>Vasopressoren</w:t>
            </w:r>
            <w:proofErr w:type="spellEnd"/>
            <w:r w:rsidRPr="00434AB5">
              <w:rPr>
                <w:rFonts w:ascii="Arial Narrow" w:hAnsi="Arial Narrow"/>
                <w:sz w:val="22"/>
              </w:rPr>
              <w:t xml:space="preserve"> zum Zeitpunkt Baseline erhalten haben. </w:t>
            </w:r>
            <w:r w:rsidR="00E630F6" w:rsidRPr="00434AB5">
              <w:rPr>
                <w:rFonts w:ascii="Arial Narrow" w:hAnsi="Arial Narrow"/>
                <w:sz w:val="22"/>
              </w:rPr>
              <w:t>Die Ansprechrate, bezogen auf den Mittleren arteriellen Druck (MAP) -ohne Erhöhung der Noradrenalin-Äquivalenzdosis – war drei Stunden nach Behandlungsbeginn bei den Patienten der Angiotensin II- Gruppe etwa dreimal so hoch wie bei den Patienten der Placebogruppe (66,7 % vs. 22,6 %). Es konnte ein hochsignifikanter Unterschied zum Vorteil der Behandlung gegenüber der Vergleichstherapie (OR 7,10 [95 % KI 3,84, 13,1]; p=4.07 x 10</w:t>
            </w:r>
            <w:r w:rsidR="00E630F6" w:rsidRPr="00434AB5">
              <w:rPr>
                <w:rFonts w:ascii="Arial Narrow" w:hAnsi="Arial Narrow"/>
                <w:sz w:val="22"/>
                <w:vertAlign w:val="superscript"/>
              </w:rPr>
              <w:t>-</w:t>
            </w:r>
            <w:r w:rsidR="00E630F6" w:rsidRPr="00434AB5">
              <w:rPr>
                <w:rFonts w:ascii="Arial Narrow" w:hAnsi="Arial Narrow"/>
                <w:sz w:val="22"/>
              </w:rPr>
              <w:t>10) gezeigt werden.</w:t>
            </w:r>
          </w:p>
          <w:p w14:paraId="3B6DA5A7" w14:textId="680D4BEE" w:rsidR="009013F7" w:rsidRPr="0021746C" w:rsidRDefault="00914229" w:rsidP="00010B08">
            <w:pPr>
              <w:jc w:val="both"/>
              <w:rPr>
                <w:rFonts w:ascii="Arial Narrow" w:hAnsi="Arial Narrow"/>
                <w:sz w:val="22"/>
              </w:rPr>
            </w:pPr>
            <w:r w:rsidRPr="00434AB5">
              <w:rPr>
                <w:rFonts w:ascii="Arial Narrow" w:hAnsi="Arial Narrow"/>
                <w:sz w:val="22"/>
              </w:rPr>
              <w:t xml:space="preserve">Die Primäranalyse konnte </w:t>
            </w:r>
            <w:r w:rsidR="00010B08" w:rsidRPr="00434AB5">
              <w:rPr>
                <w:rFonts w:ascii="Arial Narrow" w:hAnsi="Arial Narrow"/>
                <w:sz w:val="22"/>
              </w:rPr>
              <w:t xml:space="preserve">weiter </w:t>
            </w:r>
            <w:r w:rsidRPr="00434AB5">
              <w:rPr>
                <w:rFonts w:ascii="Arial Narrow" w:hAnsi="Arial Narrow"/>
                <w:sz w:val="22"/>
              </w:rPr>
              <w:t>einen hochsignif</w:t>
            </w:r>
            <w:r w:rsidR="00E630F6" w:rsidRPr="00434AB5">
              <w:rPr>
                <w:rFonts w:ascii="Arial Narrow" w:hAnsi="Arial Narrow"/>
                <w:sz w:val="22"/>
              </w:rPr>
              <w:t>i</w:t>
            </w:r>
            <w:r w:rsidRPr="00434AB5">
              <w:rPr>
                <w:rFonts w:ascii="Arial Narrow" w:hAnsi="Arial Narrow"/>
                <w:sz w:val="22"/>
              </w:rPr>
              <w:t xml:space="preserve">kanten Unterschied zum Vorteil der Behandlung gegenüber der Vergleichstherapie beim Endpunkt </w:t>
            </w:r>
            <w:r w:rsidR="00E630F6" w:rsidRPr="00434AB5">
              <w:rPr>
                <w:rFonts w:ascii="Arial Narrow" w:hAnsi="Arial Narrow"/>
                <w:sz w:val="22"/>
              </w:rPr>
              <w:t>„</w:t>
            </w:r>
            <w:r w:rsidRPr="00434AB5">
              <w:rPr>
                <w:rFonts w:ascii="Arial Narrow" w:hAnsi="Arial Narrow"/>
                <w:sz w:val="22"/>
              </w:rPr>
              <w:t>Gesamtüberle</w:t>
            </w:r>
            <w:r w:rsidR="00E630F6" w:rsidRPr="00434AB5">
              <w:rPr>
                <w:rFonts w:ascii="Arial Narrow" w:hAnsi="Arial Narrow"/>
                <w:sz w:val="22"/>
              </w:rPr>
              <w:t>b</w:t>
            </w:r>
            <w:r w:rsidRPr="00434AB5">
              <w:rPr>
                <w:rFonts w:ascii="Arial Narrow" w:hAnsi="Arial Narrow"/>
                <w:sz w:val="22"/>
              </w:rPr>
              <w:t>en bis zum Tag 28</w:t>
            </w:r>
            <w:r w:rsidR="00E630F6" w:rsidRPr="00434AB5">
              <w:rPr>
                <w:rFonts w:ascii="Arial Narrow" w:hAnsi="Arial Narrow"/>
                <w:sz w:val="22"/>
              </w:rPr>
              <w:t>“</w:t>
            </w:r>
            <w:r w:rsidRPr="00434AB5">
              <w:rPr>
                <w:rFonts w:ascii="Arial Narrow" w:hAnsi="Arial Narrow"/>
                <w:sz w:val="22"/>
              </w:rPr>
              <w:t xml:space="preserve"> zeigen</w:t>
            </w:r>
            <w:r w:rsidR="00E630F6" w:rsidRPr="00434AB5">
              <w:rPr>
                <w:rFonts w:ascii="Arial Narrow" w:hAnsi="Arial Narrow"/>
                <w:sz w:val="22"/>
              </w:rPr>
              <w:t xml:space="preserve"> (HR 0,697 [95 % KI 0,489, 0,992], p=0,0441; </w:t>
            </w:r>
            <w:proofErr w:type="spellStart"/>
            <w:r w:rsidR="00E630F6" w:rsidRPr="00434AB5">
              <w:rPr>
                <w:rFonts w:ascii="Arial Narrow" w:hAnsi="Arial Narrow"/>
                <w:sz w:val="22"/>
              </w:rPr>
              <w:t>mITT</w:t>
            </w:r>
            <w:proofErr w:type="spellEnd"/>
            <w:r w:rsidR="00E630F6" w:rsidRPr="00434AB5">
              <w:rPr>
                <w:rFonts w:ascii="Arial Narrow" w:hAnsi="Arial Narrow"/>
                <w:sz w:val="22"/>
              </w:rPr>
              <w:t>).</w:t>
            </w:r>
            <w:r w:rsidR="005847B1">
              <w:rPr>
                <w:rFonts w:ascii="Arial Narrow" w:hAnsi="Arial Narrow"/>
                <w:sz w:val="22"/>
              </w:rPr>
              <w:t xml:space="preserve"> </w:t>
            </w:r>
            <w:r w:rsidR="00E32462" w:rsidRPr="0021746C">
              <w:rPr>
                <w:rFonts w:ascii="Arial Narrow" w:hAnsi="Arial Narrow"/>
                <w:sz w:val="22"/>
              </w:rPr>
              <w:t>(</w:t>
            </w:r>
            <w:proofErr w:type="spellStart"/>
            <w:r w:rsidR="00E32462" w:rsidRPr="0021746C">
              <w:rPr>
                <w:rFonts w:ascii="Arial Narrow" w:hAnsi="Arial Narrow"/>
                <w:sz w:val="22"/>
              </w:rPr>
              <w:t>doi</w:t>
            </w:r>
            <w:proofErr w:type="spellEnd"/>
            <w:r w:rsidR="00E32462" w:rsidRPr="0021746C">
              <w:rPr>
                <w:rFonts w:ascii="Arial Narrow" w:hAnsi="Arial Narrow"/>
                <w:sz w:val="22"/>
              </w:rPr>
              <w:t>: 10.1056/NEJMoa1704154)</w:t>
            </w:r>
          </w:p>
          <w:p w14:paraId="03BAC22D" w14:textId="77777777" w:rsidR="006425CD" w:rsidRPr="0021746C" w:rsidRDefault="006425CD" w:rsidP="009013F7">
            <w:pPr>
              <w:spacing w:line="276" w:lineRule="auto"/>
              <w:jc w:val="both"/>
              <w:rPr>
                <w:rFonts w:ascii="Arial Narrow" w:hAnsi="Arial Narrow"/>
                <w:sz w:val="22"/>
              </w:rPr>
            </w:pPr>
          </w:p>
          <w:p w14:paraId="64F59D29" w14:textId="6547D41C" w:rsidR="006425CD" w:rsidRPr="00434AB5" w:rsidRDefault="00805978" w:rsidP="006425CD">
            <w:pPr>
              <w:rPr>
                <w:rFonts w:ascii="Arial Narrow" w:hAnsi="Arial Narrow"/>
                <w:sz w:val="22"/>
              </w:rPr>
            </w:pPr>
            <w:proofErr w:type="spellStart"/>
            <w:r w:rsidRPr="0021746C">
              <w:rPr>
                <w:rFonts w:ascii="Arial Narrow" w:hAnsi="Arial Narrow"/>
                <w:sz w:val="22"/>
              </w:rPr>
              <w:t>Klijian</w:t>
            </w:r>
            <w:proofErr w:type="spellEnd"/>
            <w:r w:rsidRPr="0021746C">
              <w:rPr>
                <w:rFonts w:ascii="Arial Narrow" w:hAnsi="Arial Narrow"/>
                <w:sz w:val="22"/>
              </w:rPr>
              <w:t xml:space="preserve"> et al. </w:t>
            </w:r>
            <w:r w:rsidRPr="00434AB5">
              <w:rPr>
                <w:rFonts w:ascii="Arial Narrow" w:hAnsi="Arial Narrow"/>
                <w:sz w:val="22"/>
              </w:rPr>
              <w:t xml:space="preserve">(2021) zeigten in einer Post-Hoc-Analyse der ATHOS-3 Studie, dass der Einsatz von Angiotensin-II-Acetat mit einer niedrigeren Sterblichkeitsrate, einer statistisch signifikanten höheren Überlebenswahrscheinlichkeit bei einer Teilgruppe von Patienten mit sehr schweren Krankheitsbildern, einer schnelleren Kontrolle des Blutdrucks im Vergleich zu anderen </w:t>
            </w:r>
            <w:proofErr w:type="spellStart"/>
            <w:r w:rsidRPr="00434AB5">
              <w:rPr>
                <w:rFonts w:ascii="Arial Narrow" w:hAnsi="Arial Narrow"/>
                <w:sz w:val="22"/>
              </w:rPr>
              <w:t>Vasopressoren</w:t>
            </w:r>
            <w:proofErr w:type="spellEnd"/>
            <w:r w:rsidRPr="00434AB5">
              <w:rPr>
                <w:rFonts w:ascii="Arial Narrow" w:hAnsi="Arial Narrow"/>
                <w:sz w:val="22"/>
              </w:rPr>
              <w:t xml:space="preserve">, einem geringeren Bedarf an anderen </w:t>
            </w:r>
            <w:proofErr w:type="spellStart"/>
            <w:r w:rsidRPr="00434AB5">
              <w:rPr>
                <w:rFonts w:ascii="Arial Narrow" w:hAnsi="Arial Narrow"/>
                <w:sz w:val="22"/>
              </w:rPr>
              <w:t>Vasopressoren</w:t>
            </w:r>
            <w:proofErr w:type="spellEnd"/>
            <w:r w:rsidRPr="00434AB5">
              <w:rPr>
                <w:rFonts w:ascii="Arial Narrow" w:hAnsi="Arial Narrow"/>
                <w:sz w:val="22"/>
              </w:rPr>
              <w:t xml:space="preserve"> sowie einer reduzierten Häufigkeit von schwerwiegenden Komplikationen wie erhöhter </w:t>
            </w:r>
            <w:r w:rsidRPr="00434AB5">
              <w:rPr>
                <w:rFonts w:ascii="Arial Narrow" w:hAnsi="Arial Narrow"/>
                <w:sz w:val="22"/>
              </w:rPr>
              <w:lastRenderedPageBreak/>
              <w:t xml:space="preserve">Digital- und </w:t>
            </w:r>
            <w:proofErr w:type="spellStart"/>
            <w:r w:rsidRPr="00434AB5">
              <w:rPr>
                <w:rFonts w:ascii="Arial Narrow" w:hAnsi="Arial Narrow"/>
                <w:sz w:val="22"/>
              </w:rPr>
              <w:t>Gliedmaßennekrosen</w:t>
            </w:r>
            <w:proofErr w:type="spellEnd"/>
            <w:r w:rsidRPr="00434AB5">
              <w:rPr>
                <w:rFonts w:ascii="Arial Narrow" w:hAnsi="Arial Narrow"/>
                <w:sz w:val="22"/>
              </w:rPr>
              <w:t xml:space="preserve">, akutem Nierenversagen und Sterblichkeit einherging. </w:t>
            </w:r>
            <w:r w:rsidR="00E32462" w:rsidRPr="00434AB5">
              <w:rPr>
                <w:rFonts w:ascii="Arial Narrow" w:hAnsi="Arial Narrow"/>
                <w:sz w:val="22"/>
              </w:rPr>
              <w:t>(</w:t>
            </w:r>
            <w:proofErr w:type="spellStart"/>
            <w:r w:rsidR="00E32462" w:rsidRPr="00434AB5">
              <w:rPr>
                <w:rFonts w:ascii="Arial Narrow" w:hAnsi="Arial Narrow"/>
                <w:sz w:val="22"/>
              </w:rPr>
              <w:t>doi</w:t>
            </w:r>
            <w:proofErr w:type="spellEnd"/>
            <w:r w:rsidR="00E32462" w:rsidRPr="00434AB5">
              <w:rPr>
                <w:rFonts w:ascii="Arial Narrow" w:hAnsi="Arial Narrow"/>
                <w:sz w:val="22"/>
              </w:rPr>
              <w:t>: 10.1053/j.jvca.2020.08.001)</w:t>
            </w:r>
          </w:p>
          <w:p w14:paraId="204E3851" w14:textId="77777777" w:rsidR="009013F7" w:rsidRPr="00434AB5" w:rsidRDefault="009013F7" w:rsidP="005638EB">
            <w:pPr>
              <w:rPr>
                <w:rFonts w:ascii="Arial Narrow" w:hAnsi="Arial Narrow"/>
              </w:rPr>
            </w:pPr>
          </w:p>
          <w:p w14:paraId="7E312EC3" w14:textId="7FC8A658" w:rsidR="0078272D" w:rsidRPr="00434AB5" w:rsidRDefault="0036325A" w:rsidP="004C4F82">
            <w:pPr>
              <w:rPr>
                <w:rFonts w:ascii="Arial Narrow" w:hAnsi="Arial Narrow"/>
                <w:sz w:val="22"/>
                <w:lang w:val="de-CH"/>
              </w:rPr>
            </w:pPr>
            <w:r w:rsidRPr="00434AB5">
              <w:rPr>
                <w:rFonts w:ascii="Arial Narrow" w:hAnsi="Arial Narrow"/>
                <w:sz w:val="22"/>
              </w:rPr>
              <w:t>Dosi</w:t>
            </w:r>
            <w:r w:rsidR="004C4F82" w:rsidRPr="00434AB5">
              <w:rPr>
                <w:rFonts w:ascii="Arial Narrow" w:hAnsi="Arial Narrow"/>
                <w:sz w:val="22"/>
              </w:rPr>
              <w:t>erung</w:t>
            </w:r>
            <w:r w:rsidRPr="00434AB5">
              <w:rPr>
                <w:rFonts w:ascii="Arial Narrow" w:hAnsi="Arial Narrow"/>
                <w:sz w:val="22"/>
              </w:rPr>
              <w:t xml:space="preserve">: </w:t>
            </w:r>
          </w:p>
          <w:p w14:paraId="0AF79188" w14:textId="170EEC94" w:rsidR="00DB14F4" w:rsidRPr="00434AB5" w:rsidRDefault="00E32462" w:rsidP="00E32462">
            <w:pPr>
              <w:rPr>
                <w:rFonts w:ascii="Arial Narrow" w:hAnsi="Arial Narrow"/>
                <w:lang w:val="de-CH"/>
              </w:rPr>
            </w:pPr>
            <w:r w:rsidRPr="00434AB5">
              <w:rPr>
                <w:rFonts w:ascii="Arial Narrow" w:hAnsi="Arial Narrow"/>
                <w:sz w:val="22"/>
                <w:szCs w:val="22"/>
                <w:lang w:val="de-CH"/>
              </w:rPr>
              <w:t>Angiotensin-II-Acetat</w:t>
            </w:r>
            <w:r w:rsidRPr="00434AB5">
              <w:rPr>
                <w:rFonts w:ascii="Arial Narrow" w:hAnsi="Arial Narrow"/>
                <w:sz w:val="22"/>
              </w:rPr>
              <w:t xml:space="preserve"> wird in einer Kochsalzlösung verdünnt als kontinuierliche Infusion über einen durchschnittlichen Zeitraum von 48 Stunden gegeben</w:t>
            </w:r>
            <w:r w:rsidRPr="00434AB5">
              <w:rPr>
                <w:rFonts w:ascii="Arial Narrow" w:hAnsi="Arial Narrow"/>
                <w:sz w:val="22"/>
                <w:szCs w:val="22"/>
                <w:lang w:val="de-CH"/>
              </w:rPr>
              <w:t xml:space="preserve"> Die empfohlene Anfangsdosis von </w:t>
            </w:r>
            <w:r w:rsidR="00416EC3" w:rsidRPr="00434AB5">
              <w:rPr>
                <w:rFonts w:ascii="Arial Narrow" w:hAnsi="Arial Narrow"/>
                <w:sz w:val="22"/>
                <w:szCs w:val="22"/>
                <w:lang w:val="de-CH"/>
              </w:rPr>
              <w:t>Angiotensin-II</w:t>
            </w:r>
            <w:r w:rsidRPr="00434AB5">
              <w:rPr>
                <w:rFonts w:ascii="Arial Narrow" w:hAnsi="Arial Narrow"/>
                <w:sz w:val="22"/>
                <w:szCs w:val="22"/>
                <w:lang w:val="de-CH"/>
              </w:rPr>
              <w:t xml:space="preserve"> beträgt 20 Nanogramm (</w:t>
            </w:r>
            <w:proofErr w:type="spellStart"/>
            <w:r w:rsidRPr="00434AB5">
              <w:rPr>
                <w:rFonts w:ascii="Arial Narrow" w:hAnsi="Arial Narrow"/>
                <w:sz w:val="22"/>
                <w:szCs w:val="22"/>
                <w:lang w:val="de-CH"/>
              </w:rPr>
              <w:t>ng</w:t>
            </w:r>
            <w:proofErr w:type="spellEnd"/>
            <w:r w:rsidRPr="00434AB5">
              <w:rPr>
                <w:rFonts w:ascii="Arial Narrow" w:hAnsi="Arial Narrow"/>
                <w:sz w:val="22"/>
                <w:szCs w:val="22"/>
                <w:lang w:val="de-CH"/>
              </w:rPr>
              <w:t xml:space="preserve">)/kg Körpergewicht pro Minute. </w:t>
            </w:r>
            <w:r w:rsidRPr="00434AB5">
              <w:rPr>
                <w:rFonts w:ascii="Arial Narrow" w:hAnsi="Arial Narrow"/>
                <w:sz w:val="22"/>
                <w:szCs w:val="22"/>
              </w:rPr>
              <w:t xml:space="preserve">Nach Einrichtung der Infusion kann die Dosis nach Bedarf in bis zu 5-minütigen Intervallen in Schritten von bis zu 15 </w:t>
            </w:r>
            <w:proofErr w:type="spellStart"/>
            <w:r w:rsidRPr="00434AB5">
              <w:rPr>
                <w:rFonts w:ascii="Arial Narrow" w:hAnsi="Arial Narrow"/>
                <w:sz w:val="22"/>
                <w:szCs w:val="22"/>
              </w:rPr>
              <w:t>ng</w:t>
            </w:r>
            <w:proofErr w:type="spellEnd"/>
            <w:r w:rsidRPr="00434AB5">
              <w:rPr>
                <w:rFonts w:ascii="Arial Narrow" w:hAnsi="Arial Narrow"/>
                <w:sz w:val="22"/>
                <w:szCs w:val="22"/>
              </w:rPr>
              <w:t xml:space="preserve">/kg pro Minute in Abhängigkeit vom Zustand des Patienten und vom mittleren 3 arteriellen Zieldruck titriert werden. Für schwerkranke Patienten beträgt der übliche mittlere arterielle Zieldruck 65-75 </w:t>
            </w:r>
            <w:proofErr w:type="spellStart"/>
            <w:r w:rsidRPr="00434AB5">
              <w:rPr>
                <w:rFonts w:ascii="Arial Narrow" w:hAnsi="Arial Narrow"/>
                <w:sz w:val="22"/>
                <w:szCs w:val="22"/>
              </w:rPr>
              <w:t>mmHg</w:t>
            </w:r>
            <w:proofErr w:type="spellEnd"/>
            <w:r w:rsidRPr="00434AB5">
              <w:rPr>
                <w:rFonts w:ascii="Arial Narrow" w:hAnsi="Arial Narrow"/>
                <w:sz w:val="22"/>
                <w:szCs w:val="22"/>
              </w:rPr>
              <w:t xml:space="preserve">. Während der ersten 3 Stunden der Behandlung </w:t>
            </w:r>
            <w:proofErr w:type="gramStart"/>
            <w:r w:rsidRPr="00434AB5">
              <w:rPr>
                <w:rFonts w:ascii="Arial Narrow" w:hAnsi="Arial Narrow"/>
                <w:sz w:val="22"/>
                <w:szCs w:val="22"/>
              </w:rPr>
              <w:t>sind</w:t>
            </w:r>
            <w:proofErr w:type="gramEnd"/>
            <w:r w:rsidRPr="00434AB5">
              <w:rPr>
                <w:rFonts w:ascii="Arial Narrow" w:hAnsi="Arial Narrow"/>
                <w:sz w:val="22"/>
                <w:szCs w:val="22"/>
              </w:rPr>
              <w:t xml:space="preserve"> 80 </w:t>
            </w:r>
            <w:proofErr w:type="spellStart"/>
            <w:r w:rsidRPr="00434AB5">
              <w:rPr>
                <w:rFonts w:ascii="Arial Narrow" w:hAnsi="Arial Narrow"/>
                <w:sz w:val="22"/>
                <w:szCs w:val="22"/>
              </w:rPr>
              <w:t>ng</w:t>
            </w:r>
            <w:proofErr w:type="spellEnd"/>
            <w:r w:rsidRPr="00434AB5">
              <w:rPr>
                <w:rFonts w:ascii="Arial Narrow" w:hAnsi="Arial Narrow"/>
                <w:sz w:val="22"/>
                <w:szCs w:val="22"/>
              </w:rPr>
              <w:t xml:space="preserve">/kg pro Minute nicht zu überschreiten. Die Erhaltungsdosis sollte 40 </w:t>
            </w:r>
            <w:proofErr w:type="spellStart"/>
            <w:r w:rsidRPr="00434AB5">
              <w:rPr>
                <w:rFonts w:ascii="Arial Narrow" w:hAnsi="Arial Narrow"/>
                <w:sz w:val="22"/>
                <w:szCs w:val="22"/>
              </w:rPr>
              <w:t>ng</w:t>
            </w:r>
            <w:proofErr w:type="spellEnd"/>
            <w:r w:rsidRPr="00434AB5">
              <w:rPr>
                <w:rFonts w:ascii="Arial Narrow" w:hAnsi="Arial Narrow"/>
                <w:sz w:val="22"/>
                <w:szCs w:val="22"/>
              </w:rPr>
              <w:t xml:space="preserve">/kg pro Minute nicht überschreiten. Es können niedrige Dosen von bis zu 1,25 </w:t>
            </w:r>
            <w:proofErr w:type="spellStart"/>
            <w:r w:rsidRPr="00434AB5">
              <w:rPr>
                <w:rFonts w:ascii="Arial Narrow" w:hAnsi="Arial Narrow"/>
                <w:sz w:val="22"/>
                <w:szCs w:val="22"/>
              </w:rPr>
              <w:t>ng</w:t>
            </w:r>
            <w:proofErr w:type="spellEnd"/>
            <w:r w:rsidRPr="00434AB5">
              <w:rPr>
                <w:rFonts w:ascii="Arial Narrow" w:hAnsi="Arial Narrow"/>
                <w:sz w:val="22"/>
                <w:szCs w:val="22"/>
              </w:rPr>
              <w:t>/kg pro Minute angewendet werden. Die mittlere Behandlungsdauer betrug in klinischen Studien 48 Stunden</w:t>
            </w:r>
            <w:r w:rsidR="00181718">
              <w:rPr>
                <w:rFonts w:ascii="Arial Narrow" w:hAnsi="Arial Narrow"/>
                <w:sz w:val="22"/>
                <w:szCs w:val="22"/>
              </w:rPr>
              <w:t>.</w:t>
            </w:r>
          </w:p>
        </w:tc>
      </w:tr>
    </w:tbl>
    <w:p w14:paraId="6F81F951"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73F33158" w14:textId="77777777">
        <w:tc>
          <w:tcPr>
            <w:tcW w:w="9212" w:type="dxa"/>
          </w:tcPr>
          <w:p w14:paraId="684681EC" w14:textId="7F246CCE" w:rsidR="008E6675" w:rsidRPr="00434AB5" w:rsidRDefault="008E6675" w:rsidP="005638EB">
            <w:pPr>
              <w:rPr>
                <w:rFonts w:ascii="Arial Narrow" w:hAnsi="Arial Narrow"/>
                <w:b/>
              </w:rPr>
            </w:pPr>
            <w:r w:rsidRPr="00434AB5">
              <w:rPr>
                <w:rFonts w:ascii="Arial Narrow" w:hAnsi="Arial Narrow"/>
                <w:b/>
                <w:sz w:val="22"/>
              </w:rPr>
              <w:t>Mit welchem OPS wird die Methode verschlüsselt?</w:t>
            </w:r>
          </w:p>
        </w:tc>
      </w:tr>
      <w:tr w:rsidR="00434AB5" w:rsidRPr="00434AB5" w14:paraId="5C95386E" w14:textId="77777777">
        <w:tc>
          <w:tcPr>
            <w:tcW w:w="9212" w:type="dxa"/>
          </w:tcPr>
          <w:p w14:paraId="276EB151" w14:textId="2EAF5C31" w:rsidR="00CC7E5F" w:rsidRPr="00434AB5" w:rsidRDefault="00F77639" w:rsidP="00435583">
            <w:pPr>
              <w:rPr>
                <w:rFonts w:ascii="Arial Narrow" w:hAnsi="Arial Narrow"/>
                <w:sz w:val="22"/>
              </w:rPr>
            </w:pPr>
            <w:bookmarkStart w:id="0" w:name="_Hlk83810295"/>
            <w:r w:rsidRPr="00434AB5">
              <w:rPr>
                <w:rFonts w:ascii="Arial Narrow" w:hAnsi="Arial Narrow"/>
                <w:sz w:val="22"/>
                <w:highlight w:val="yellow"/>
              </w:rPr>
              <w:t>[</w:t>
            </w:r>
            <w:r w:rsidR="00BE3979" w:rsidRPr="00434AB5">
              <w:rPr>
                <w:rFonts w:ascii="Arial Narrow" w:hAnsi="Arial Narrow"/>
                <w:sz w:val="22"/>
                <w:highlight w:val="yellow"/>
              </w:rPr>
              <w:t xml:space="preserve">Bitte </w:t>
            </w:r>
            <w:r w:rsidR="004C4F82" w:rsidRPr="00434AB5">
              <w:rPr>
                <w:rFonts w:ascii="Arial Narrow" w:hAnsi="Arial Narrow"/>
                <w:sz w:val="22"/>
                <w:highlight w:val="yellow"/>
              </w:rPr>
              <w:t>ankreuzen</w:t>
            </w:r>
            <w:r w:rsidR="0036325A" w:rsidRPr="00434AB5">
              <w:rPr>
                <w:rFonts w:ascii="Arial Narrow" w:hAnsi="Arial Narrow"/>
                <w:sz w:val="22"/>
                <w:highlight w:val="yellow"/>
              </w:rPr>
              <w:t xml:space="preserve">: </w:t>
            </w:r>
            <w:r w:rsidR="00DC6CBD" w:rsidRPr="00434AB5">
              <w:rPr>
                <w:rFonts w:ascii="Arial Narrow" w:hAnsi="Arial Narrow"/>
                <w:sz w:val="22"/>
                <w:highlight w:val="yellow"/>
              </w:rPr>
              <w:t xml:space="preserve">Derzeit sind keine </w:t>
            </w:r>
            <w:proofErr w:type="spellStart"/>
            <w:r w:rsidR="00DC6CBD" w:rsidRPr="00434AB5">
              <w:rPr>
                <w:rFonts w:ascii="Arial Narrow" w:hAnsi="Arial Narrow"/>
                <w:sz w:val="22"/>
                <w:highlight w:val="yellow"/>
              </w:rPr>
              <w:t>Prozedurencodes</w:t>
            </w:r>
            <w:proofErr w:type="spellEnd"/>
            <w:r w:rsidR="00DC6CBD" w:rsidRPr="00434AB5">
              <w:rPr>
                <w:rFonts w:ascii="Arial Narrow" w:hAnsi="Arial Narrow"/>
                <w:sz w:val="22"/>
                <w:highlight w:val="yellow"/>
              </w:rPr>
              <w:t xml:space="preserve"> (OPS) verfügbar</w:t>
            </w:r>
            <w:bookmarkEnd w:id="0"/>
            <w:r w:rsidR="00BE3979" w:rsidRPr="00434AB5">
              <w:rPr>
                <w:rFonts w:ascii="Arial Narrow" w:hAnsi="Arial Narrow"/>
                <w:sz w:val="22"/>
                <w:highlight w:val="yellow"/>
              </w:rPr>
              <w:t>.</w:t>
            </w:r>
            <w:r w:rsidR="00620855" w:rsidRPr="00434AB5">
              <w:rPr>
                <w:rFonts w:ascii="Arial Narrow" w:hAnsi="Arial Narrow"/>
                <w:sz w:val="22"/>
                <w:highlight w:val="yellow"/>
              </w:rPr>
              <w:t>]</w:t>
            </w:r>
          </w:p>
        </w:tc>
      </w:tr>
    </w:tbl>
    <w:p w14:paraId="63A2C327" w14:textId="77777777" w:rsidR="00DC6CBD" w:rsidRPr="00434AB5"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1C363EAC" w14:textId="77777777" w:rsidTr="0036178C">
        <w:tc>
          <w:tcPr>
            <w:tcW w:w="9212" w:type="dxa"/>
          </w:tcPr>
          <w:p w14:paraId="76259E49" w14:textId="0E1E9B3E" w:rsidR="004C4F82" w:rsidRPr="00434AB5" w:rsidRDefault="002333FF" w:rsidP="0036178C">
            <w:pPr>
              <w:rPr>
                <w:rFonts w:ascii="Arial Narrow" w:hAnsi="Arial Narrow"/>
                <w:b/>
              </w:rPr>
            </w:pPr>
            <w:r w:rsidRPr="00434AB5">
              <w:rPr>
                <w:rFonts w:ascii="Arial Narrow" w:hAnsi="Arial Narrow"/>
                <w:b/>
                <w:sz w:val="22"/>
              </w:rPr>
              <w:t>Anmerkungen zu den Proz</w:t>
            </w:r>
            <w:r w:rsidR="004C4F82" w:rsidRPr="00434AB5">
              <w:rPr>
                <w:rFonts w:ascii="Arial Narrow" w:hAnsi="Arial Narrow"/>
                <w:b/>
                <w:sz w:val="22"/>
              </w:rPr>
              <w:t>eduren</w:t>
            </w:r>
          </w:p>
        </w:tc>
      </w:tr>
      <w:tr w:rsidR="00434AB5" w:rsidRPr="00434AB5" w14:paraId="131FE40C" w14:textId="77777777" w:rsidTr="0036178C">
        <w:tc>
          <w:tcPr>
            <w:tcW w:w="9212" w:type="dxa"/>
          </w:tcPr>
          <w:p w14:paraId="48201DB1" w14:textId="7096570A" w:rsidR="004C4F82" w:rsidRPr="00D129F3" w:rsidRDefault="00416EC3" w:rsidP="00C40BD2">
            <w:pPr>
              <w:rPr>
                <w:rFonts w:ascii="Arial Narrow" w:hAnsi="Arial Narrow"/>
                <w:sz w:val="22"/>
              </w:rPr>
            </w:pPr>
            <w:r w:rsidRPr="00434AB5">
              <w:rPr>
                <w:rFonts w:ascii="Arial Narrow" w:hAnsi="Arial Narrow"/>
                <w:sz w:val="22"/>
              </w:rPr>
              <w:t>Es besteht Ergänzungsbedarf im OPS-Katalog, um das Medikament sachgerecht zu kodieren. Im OPS</w:t>
            </w:r>
            <w:r w:rsidR="0089002F">
              <w:rPr>
                <w:rFonts w:ascii="Arial Narrow" w:hAnsi="Arial Narrow"/>
                <w:sz w:val="22"/>
              </w:rPr>
              <w:t>-</w:t>
            </w:r>
            <w:r w:rsidRPr="00434AB5">
              <w:rPr>
                <w:rFonts w:ascii="Arial Narrow" w:hAnsi="Arial Narrow"/>
                <w:sz w:val="22"/>
              </w:rPr>
              <w:t xml:space="preserve">Katalog sollte in Kapitel 6-00 Applikation von Medikamenten die Gabe von Angiotensin-II-Acetat ergänzt werden. </w:t>
            </w:r>
          </w:p>
        </w:tc>
      </w:tr>
    </w:tbl>
    <w:p w14:paraId="497C648B" w14:textId="77777777" w:rsidR="004C4F82" w:rsidRPr="00434AB5"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1C579B85" w14:textId="77777777">
        <w:tc>
          <w:tcPr>
            <w:tcW w:w="9212" w:type="dxa"/>
          </w:tcPr>
          <w:p w14:paraId="442A0D93" w14:textId="77777777" w:rsidR="008E6675" w:rsidRPr="00434AB5" w:rsidRDefault="008E6675" w:rsidP="005638EB">
            <w:pPr>
              <w:rPr>
                <w:rFonts w:ascii="Arial Narrow" w:hAnsi="Arial Narrow"/>
                <w:b/>
              </w:rPr>
            </w:pPr>
            <w:r w:rsidRPr="00434AB5">
              <w:rPr>
                <w:rFonts w:ascii="Arial Narrow" w:hAnsi="Arial Narrow"/>
                <w:b/>
                <w:sz w:val="22"/>
              </w:rPr>
              <w:t>Bei welchen Patienten wird die Methode angewandt (Indikation)?</w:t>
            </w:r>
          </w:p>
        </w:tc>
      </w:tr>
      <w:tr w:rsidR="00434AB5" w:rsidRPr="00434AB5" w14:paraId="158F0243" w14:textId="77777777">
        <w:tc>
          <w:tcPr>
            <w:tcW w:w="9212" w:type="dxa"/>
          </w:tcPr>
          <w:p w14:paraId="606B75B1" w14:textId="6C3DFD4A" w:rsidR="008E6675" w:rsidRPr="00434AB5" w:rsidRDefault="00777AB6" w:rsidP="00C11458">
            <w:pPr>
              <w:rPr>
                <w:rFonts w:ascii="Arial Narrow" w:hAnsi="Arial Narrow"/>
                <w:sz w:val="22"/>
                <w:szCs w:val="22"/>
              </w:rPr>
            </w:pPr>
            <w:r w:rsidRPr="00434AB5">
              <w:rPr>
                <w:rFonts w:ascii="Arial Narrow" w:hAnsi="Arial Narrow"/>
                <w:sz w:val="22"/>
              </w:rPr>
              <w:t>GIAPREZA</w:t>
            </w:r>
            <w:r w:rsidRPr="003347F9">
              <w:rPr>
                <w:rFonts w:ascii="Arial Narrow" w:hAnsi="Arial Narrow"/>
                <w:sz w:val="22"/>
                <w:vertAlign w:val="superscript"/>
              </w:rPr>
              <w:t>®</w:t>
            </w:r>
            <w:r w:rsidR="009910D7" w:rsidRPr="00434AB5">
              <w:rPr>
                <w:rFonts w:ascii="Arial Narrow" w:hAnsi="Arial Narrow"/>
                <w:sz w:val="22"/>
                <w:szCs w:val="22"/>
              </w:rPr>
              <w:t xml:space="preserve"> ist für die Behandlung der refraktären Hypotonie bei Erwachsenen mit einem septischen oder anderen distributiven Schock indiziert, die trotz einer angemessenen Wiederherstellung des Volumens und der Anwendung von Katecholaminen oder anderen verfügbaren gefäßverengenden Therapien hypotensiv bleiben.</w:t>
            </w:r>
          </w:p>
        </w:tc>
      </w:tr>
    </w:tbl>
    <w:p w14:paraId="2A567A97"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544A3AED" w14:textId="77777777">
        <w:trPr>
          <w:trHeight w:val="234"/>
        </w:trPr>
        <w:tc>
          <w:tcPr>
            <w:tcW w:w="9212" w:type="dxa"/>
          </w:tcPr>
          <w:p w14:paraId="52A9B9D0" w14:textId="77777777" w:rsidR="008E6675" w:rsidRPr="00434AB5" w:rsidRDefault="008E6675" w:rsidP="005638EB">
            <w:pPr>
              <w:rPr>
                <w:rFonts w:ascii="Arial Narrow" w:hAnsi="Arial Narrow"/>
                <w:b/>
              </w:rPr>
            </w:pPr>
            <w:r w:rsidRPr="00434AB5">
              <w:rPr>
                <w:rFonts w:ascii="Arial Narrow" w:hAnsi="Arial Narrow"/>
                <w:b/>
                <w:sz w:val="22"/>
              </w:rPr>
              <w:t>Welche bestehende Methode wird durch die neue Methode abgelöst oder ergänzt?</w:t>
            </w:r>
          </w:p>
        </w:tc>
      </w:tr>
      <w:tr w:rsidR="00434AB5" w:rsidRPr="00434AB5" w14:paraId="6B0057FA" w14:textId="77777777">
        <w:tc>
          <w:tcPr>
            <w:tcW w:w="9212" w:type="dxa"/>
          </w:tcPr>
          <w:p w14:paraId="3EC3722F" w14:textId="390523EF" w:rsidR="008E6675" w:rsidRPr="00434AB5" w:rsidRDefault="00C40BD2" w:rsidP="00C40BD2">
            <w:pPr>
              <w:rPr>
                <w:rFonts w:ascii="Arial Narrow" w:hAnsi="Arial Narrow"/>
                <w:sz w:val="22"/>
                <w:szCs w:val="22"/>
              </w:rPr>
            </w:pPr>
            <w:r w:rsidRPr="00434AB5">
              <w:rPr>
                <w:rFonts w:ascii="Arial Narrow" w:hAnsi="Arial Narrow"/>
                <w:sz w:val="22"/>
                <w:szCs w:val="22"/>
              </w:rPr>
              <w:t xml:space="preserve">Angiotensin-II-Acetat ergänzt die Therapiemöglichkeiten bei Patienten, die trotz der Gabe von Katecholaminen und Volumensubstitution hypotensiv bleiben. Die Verabreichung erfolgt somit, wenn alle anderen bekannten Methoden keinen Erfolg zeigen, den MAP adäquat zu kontrollieren und keine andere empfohlene Option für die Behandlung existiert. </w:t>
            </w:r>
            <w:r w:rsidR="009910D7" w:rsidRPr="00434AB5">
              <w:rPr>
                <w:rFonts w:ascii="Arial Narrow" w:hAnsi="Arial Narrow"/>
                <w:sz w:val="22"/>
                <w:szCs w:val="22"/>
              </w:rPr>
              <w:t xml:space="preserve">Bei der Katecholamin-refraktären Hypotonie bzw. dem Schock handelt es sich um eine akut lebensbedrohliche Notfallsituation, die im Intensivbereich zu den Erkrankungen mit der höchsten </w:t>
            </w:r>
            <w:r w:rsidRPr="00434AB5">
              <w:rPr>
                <w:rFonts w:ascii="Arial Narrow" w:hAnsi="Arial Narrow"/>
                <w:sz w:val="22"/>
                <w:szCs w:val="22"/>
              </w:rPr>
              <w:t>S</w:t>
            </w:r>
            <w:r w:rsidR="009910D7" w:rsidRPr="00434AB5">
              <w:rPr>
                <w:rFonts w:ascii="Arial Narrow" w:hAnsi="Arial Narrow"/>
                <w:sz w:val="22"/>
                <w:szCs w:val="22"/>
              </w:rPr>
              <w:t xml:space="preserve">terblichkeitsrate zählt und daher für diese Patienten ein hoher ungedeckter Bedarf besteht. </w:t>
            </w:r>
            <w:r w:rsidRPr="00434AB5">
              <w:rPr>
                <w:rFonts w:ascii="Arial Narrow" w:hAnsi="Arial Narrow"/>
                <w:sz w:val="22"/>
                <w:szCs w:val="22"/>
              </w:rPr>
              <w:t>Der Wirkstoff Angiotensin-II-Acetat</w:t>
            </w:r>
            <w:r w:rsidR="009910D7" w:rsidRPr="00434AB5">
              <w:rPr>
                <w:rFonts w:ascii="Arial Narrow" w:hAnsi="Arial Narrow"/>
                <w:sz w:val="22"/>
                <w:szCs w:val="22"/>
              </w:rPr>
              <w:t xml:space="preserve"> ist aktuell die einzige zugelassene Therapie in diesem Anwendungsgebiet.</w:t>
            </w:r>
          </w:p>
        </w:tc>
      </w:tr>
    </w:tbl>
    <w:p w14:paraId="073C0909"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3CC85E94" w14:textId="77777777">
        <w:tc>
          <w:tcPr>
            <w:tcW w:w="9212" w:type="dxa"/>
          </w:tcPr>
          <w:p w14:paraId="25335173" w14:textId="77777777" w:rsidR="008E6675" w:rsidRPr="00434AB5" w:rsidRDefault="008E6675" w:rsidP="00E92C57">
            <w:pPr>
              <w:rPr>
                <w:rFonts w:ascii="Arial Narrow" w:hAnsi="Arial Narrow"/>
                <w:b/>
              </w:rPr>
            </w:pPr>
            <w:r w:rsidRPr="00434AB5">
              <w:rPr>
                <w:rFonts w:ascii="Arial Narrow" w:hAnsi="Arial Narrow"/>
                <w:b/>
                <w:sz w:val="22"/>
              </w:rPr>
              <w:t>Ist die Methode vollständig oder in Teilen neu und warum handelt es sich um eine neue Untersuchungs- und Behandlungsmethode?</w:t>
            </w:r>
          </w:p>
        </w:tc>
      </w:tr>
      <w:tr w:rsidR="00434AB5" w:rsidRPr="00434AB5" w14:paraId="402C1327" w14:textId="77777777">
        <w:tc>
          <w:tcPr>
            <w:tcW w:w="9212" w:type="dxa"/>
          </w:tcPr>
          <w:p w14:paraId="6F46CB84" w14:textId="294CD2AA" w:rsidR="008E6675" w:rsidRPr="00434AB5" w:rsidRDefault="008E6675" w:rsidP="00596F9A">
            <w:pPr>
              <w:rPr>
                <w:rFonts w:ascii="Arial Narrow" w:hAnsi="Arial Narrow"/>
                <w:sz w:val="22"/>
                <w:szCs w:val="22"/>
              </w:rPr>
            </w:pPr>
            <w:r w:rsidRPr="00434AB5">
              <w:rPr>
                <w:rFonts w:ascii="Arial Narrow" w:hAnsi="Arial Narrow"/>
                <w:sz w:val="22"/>
                <w:szCs w:val="22"/>
              </w:rPr>
              <w:t>In den Informatione</w:t>
            </w:r>
            <w:r w:rsidR="00C11458" w:rsidRPr="00434AB5">
              <w:rPr>
                <w:rFonts w:ascii="Arial Narrow" w:hAnsi="Arial Narrow"/>
                <w:sz w:val="22"/>
                <w:szCs w:val="22"/>
              </w:rPr>
              <w:t>n nach §</w:t>
            </w:r>
            <w:r w:rsidR="00F77639" w:rsidRPr="00434AB5">
              <w:rPr>
                <w:rFonts w:ascii="Arial Narrow" w:hAnsi="Arial Narrow"/>
                <w:sz w:val="22"/>
                <w:szCs w:val="22"/>
              </w:rPr>
              <w:t xml:space="preserve"> </w:t>
            </w:r>
            <w:r w:rsidR="00C11458" w:rsidRPr="00434AB5">
              <w:rPr>
                <w:rFonts w:ascii="Arial Narrow" w:hAnsi="Arial Narrow"/>
                <w:sz w:val="22"/>
                <w:szCs w:val="22"/>
              </w:rPr>
              <w:t xml:space="preserve">6 Abs. 2 </w:t>
            </w:r>
            <w:proofErr w:type="spellStart"/>
            <w:r w:rsidR="00C11458" w:rsidRPr="00434AB5">
              <w:rPr>
                <w:rFonts w:ascii="Arial Narrow" w:hAnsi="Arial Narrow"/>
                <w:sz w:val="22"/>
                <w:szCs w:val="22"/>
              </w:rPr>
              <w:t>KHEntgG</w:t>
            </w:r>
            <w:proofErr w:type="spellEnd"/>
            <w:r w:rsidR="00C11458" w:rsidRPr="00434AB5">
              <w:rPr>
                <w:rFonts w:ascii="Arial Narrow" w:hAnsi="Arial Narrow"/>
                <w:sz w:val="22"/>
                <w:szCs w:val="22"/>
              </w:rPr>
              <w:t xml:space="preserve"> für 202</w:t>
            </w:r>
            <w:r w:rsidR="005D1992" w:rsidRPr="00434AB5">
              <w:rPr>
                <w:rFonts w:ascii="Arial Narrow" w:hAnsi="Arial Narrow"/>
                <w:sz w:val="22"/>
                <w:szCs w:val="22"/>
              </w:rPr>
              <w:t>4</w:t>
            </w:r>
            <w:r w:rsidRPr="00434AB5">
              <w:rPr>
                <w:rFonts w:ascii="Arial Narrow" w:hAnsi="Arial Narrow"/>
                <w:sz w:val="22"/>
                <w:szCs w:val="22"/>
              </w:rPr>
              <w:t xml:space="preserve"> hat </w:t>
            </w:r>
            <w:r w:rsidR="00F77639" w:rsidRPr="00434AB5">
              <w:rPr>
                <w:rFonts w:ascii="Arial Narrow" w:hAnsi="Arial Narrow"/>
                <w:sz w:val="22"/>
                <w:szCs w:val="22"/>
              </w:rPr>
              <w:t>Angiotensin</w:t>
            </w:r>
            <w:r w:rsidR="00434AB5" w:rsidRPr="00434AB5">
              <w:rPr>
                <w:rFonts w:ascii="Arial Narrow" w:hAnsi="Arial Narrow"/>
                <w:sz w:val="22"/>
                <w:szCs w:val="22"/>
              </w:rPr>
              <w:t>-</w:t>
            </w:r>
            <w:r w:rsidR="00F77639" w:rsidRPr="00434AB5">
              <w:rPr>
                <w:rFonts w:ascii="Arial Narrow" w:hAnsi="Arial Narrow"/>
                <w:sz w:val="22"/>
                <w:szCs w:val="22"/>
              </w:rPr>
              <w:t>II</w:t>
            </w:r>
            <w:r w:rsidRPr="00434AB5">
              <w:rPr>
                <w:rFonts w:ascii="Arial Narrow" w:hAnsi="Arial Narrow"/>
                <w:sz w:val="22"/>
                <w:szCs w:val="22"/>
              </w:rPr>
              <w:t xml:space="preserve"> den Status </w:t>
            </w:r>
            <w:r w:rsidR="00F77639" w:rsidRPr="00434AB5">
              <w:rPr>
                <w:rFonts w:ascii="Arial Narrow" w:hAnsi="Arial Narrow"/>
                <w:sz w:val="22"/>
                <w:szCs w:val="22"/>
              </w:rPr>
              <w:t>2 erhalten</w:t>
            </w:r>
            <w:r w:rsidR="00044597" w:rsidRPr="00434AB5">
              <w:rPr>
                <w:rFonts w:ascii="Arial Narrow" w:hAnsi="Arial Narrow"/>
                <w:sz w:val="22"/>
                <w:szCs w:val="22"/>
              </w:rPr>
              <w:t>.</w:t>
            </w:r>
          </w:p>
          <w:p w14:paraId="6B1FDB47" w14:textId="24FD4BF5" w:rsidR="008E6675" w:rsidRPr="00434AB5" w:rsidRDefault="0036325A" w:rsidP="00F77639">
            <w:pPr>
              <w:rPr>
                <w:rFonts w:ascii="Arial Narrow" w:hAnsi="Arial Narrow"/>
              </w:rPr>
            </w:pPr>
            <w:r w:rsidRPr="00434AB5">
              <w:rPr>
                <w:rFonts w:ascii="Arial Narrow" w:hAnsi="Arial Narrow"/>
                <w:sz w:val="22"/>
                <w:szCs w:val="22"/>
              </w:rPr>
              <w:t>Die E</w:t>
            </w:r>
            <w:r w:rsidR="00C11458" w:rsidRPr="00434AB5">
              <w:rPr>
                <w:rFonts w:ascii="Arial Narrow" w:hAnsi="Arial Narrow"/>
                <w:sz w:val="22"/>
                <w:szCs w:val="22"/>
              </w:rPr>
              <w:t>instufung in den Status 2</w:t>
            </w:r>
            <w:r w:rsidRPr="00434AB5">
              <w:rPr>
                <w:rFonts w:ascii="Arial Narrow" w:hAnsi="Arial Narrow"/>
                <w:sz w:val="22"/>
                <w:szCs w:val="22"/>
              </w:rPr>
              <w:t xml:space="preserve"> ist nicht nachvollziehbar</w:t>
            </w:r>
            <w:r w:rsidR="00F77639" w:rsidRPr="00434AB5">
              <w:rPr>
                <w:rFonts w:ascii="Arial Narrow" w:hAnsi="Arial Narrow"/>
                <w:sz w:val="22"/>
                <w:szCs w:val="22"/>
              </w:rPr>
              <w:t>.</w:t>
            </w:r>
          </w:p>
        </w:tc>
      </w:tr>
    </w:tbl>
    <w:p w14:paraId="75E7896B"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7DEA2055" w14:textId="77777777">
        <w:tc>
          <w:tcPr>
            <w:tcW w:w="9212" w:type="dxa"/>
          </w:tcPr>
          <w:p w14:paraId="4E8FCE4C" w14:textId="77777777" w:rsidR="008E6675" w:rsidRPr="00434AB5" w:rsidRDefault="008E6675" w:rsidP="005638EB">
            <w:pPr>
              <w:rPr>
                <w:rFonts w:ascii="Arial Narrow" w:hAnsi="Arial Narrow"/>
                <w:b/>
              </w:rPr>
            </w:pPr>
            <w:r w:rsidRPr="00434AB5">
              <w:rPr>
                <w:rFonts w:ascii="Arial Narrow" w:hAnsi="Arial Narrow"/>
                <w:b/>
                <w:sz w:val="22"/>
              </w:rPr>
              <w:t>Welche Auswirkungen hat die Methode auf die Verweildauer im Krankenhaus?</w:t>
            </w:r>
          </w:p>
        </w:tc>
      </w:tr>
      <w:tr w:rsidR="00434AB5" w:rsidRPr="00434AB5" w14:paraId="5C15DE82" w14:textId="77777777">
        <w:trPr>
          <w:trHeight w:val="264"/>
        </w:trPr>
        <w:tc>
          <w:tcPr>
            <w:tcW w:w="9212" w:type="dxa"/>
          </w:tcPr>
          <w:p w14:paraId="19E75E35" w14:textId="7F3D2D51" w:rsidR="00A530BE" w:rsidRPr="00434AB5" w:rsidRDefault="008E6675" w:rsidP="005638EB">
            <w:pPr>
              <w:rPr>
                <w:rFonts w:ascii="Arial Narrow" w:hAnsi="Arial Narrow"/>
              </w:rPr>
            </w:pPr>
            <w:r w:rsidRPr="00434AB5">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6BCFFEC8" w14:textId="77777777">
        <w:tc>
          <w:tcPr>
            <w:tcW w:w="9212" w:type="dxa"/>
          </w:tcPr>
          <w:p w14:paraId="5ABEFBD5" w14:textId="77777777" w:rsidR="008E6675" w:rsidRPr="00434AB5" w:rsidRDefault="008E6675" w:rsidP="005638EB">
            <w:pPr>
              <w:rPr>
                <w:rFonts w:ascii="Arial Narrow" w:hAnsi="Arial Narrow"/>
                <w:b/>
              </w:rPr>
            </w:pPr>
            <w:r w:rsidRPr="00434AB5">
              <w:rPr>
                <w:rFonts w:ascii="Arial Narrow" w:hAnsi="Arial Narrow"/>
                <w:b/>
                <w:sz w:val="22"/>
              </w:rPr>
              <w:t>Wann wurde diese Methode in Deutschland eingeführt?</w:t>
            </w:r>
          </w:p>
        </w:tc>
      </w:tr>
      <w:tr w:rsidR="00434AB5" w:rsidRPr="00434AB5" w14:paraId="0DF8F781" w14:textId="77777777">
        <w:tc>
          <w:tcPr>
            <w:tcW w:w="9212" w:type="dxa"/>
          </w:tcPr>
          <w:p w14:paraId="256E27C8" w14:textId="29EE235B" w:rsidR="00D14350" w:rsidRPr="00434AB5" w:rsidRDefault="00F77639" w:rsidP="00C112A6">
            <w:pPr>
              <w:rPr>
                <w:rFonts w:ascii="Arial Narrow" w:hAnsi="Arial Narrow"/>
                <w:sz w:val="22"/>
              </w:rPr>
            </w:pPr>
            <w:r w:rsidRPr="00434AB5">
              <w:rPr>
                <w:rFonts w:ascii="Arial Narrow" w:hAnsi="Arial Narrow"/>
                <w:sz w:val="22"/>
              </w:rPr>
              <w:t>15.07.2021</w:t>
            </w:r>
          </w:p>
        </w:tc>
      </w:tr>
    </w:tbl>
    <w:p w14:paraId="233BCD28"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7DE956DB" w14:textId="77777777">
        <w:tc>
          <w:tcPr>
            <w:tcW w:w="9212" w:type="dxa"/>
          </w:tcPr>
          <w:p w14:paraId="483A4156" w14:textId="77777777" w:rsidR="008E6675" w:rsidRPr="00434AB5" w:rsidRDefault="008E6675" w:rsidP="005638EB">
            <w:pPr>
              <w:rPr>
                <w:rFonts w:ascii="Arial Narrow" w:hAnsi="Arial Narrow"/>
                <w:b/>
              </w:rPr>
            </w:pPr>
            <w:r w:rsidRPr="00434AB5">
              <w:rPr>
                <w:rFonts w:ascii="Arial Narrow" w:hAnsi="Arial Narrow"/>
                <w:b/>
                <w:sz w:val="22"/>
              </w:rPr>
              <w:t>Bei Medikamenten: Wann wurde dieses Medikament zugelassen?</w:t>
            </w:r>
          </w:p>
        </w:tc>
      </w:tr>
      <w:tr w:rsidR="00434AB5" w:rsidRPr="00434AB5" w14:paraId="1264FF24" w14:textId="77777777">
        <w:tc>
          <w:tcPr>
            <w:tcW w:w="9212" w:type="dxa"/>
          </w:tcPr>
          <w:p w14:paraId="7BB60EDC" w14:textId="2FC3AEB3" w:rsidR="00044597" w:rsidRPr="00434AB5" w:rsidRDefault="003731D3" w:rsidP="00C112A6">
            <w:pPr>
              <w:rPr>
                <w:rFonts w:ascii="Arial Narrow" w:hAnsi="Arial Narrow"/>
                <w:sz w:val="22"/>
              </w:rPr>
            </w:pPr>
            <w:r w:rsidRPr="00434AB5">
              <w:rPr>
                <w:rFonts w:ascii="Arial Narrow" w:hAnsi="Arial Narrow"/>
                <w:sz w:val="22"/>
              </w:rPr>
              <w:lastRenderedPageBreak/>
              <w:t>23.08.2019</w:t>
            </w:r>
          </w:p>
        </w:tc>
      </w:tr>
    </w:tbl>
    <w:p w14:paraId="479CCD3D"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24374391" w14:textId="77777777">
        <w:tc>
          <w:tcPr>
            <w:tcW w:w="9212" w:type="dxa"/>
          </w:tcPr>
          <w:p w14:paraId="657A69BC" w14:textId="77777777" w:rsidR="008E6675" w:rsidRPr="00434AB5" w:rsidRDefault="008E6675" w:rsidP="005638EB">
            <w:pPr>
              <w:rPr>
                <w:rFonts w:ascii="Arial Narrow" w:hAnsi="Arial Narrow"/>
                <w:b/>
              </w:rPr>
            </w:pPr>
            <w:r w:rsidRPr="00434AB5">
              <w:rPr>
                <w:rFonts w:ascii="Arial Narrow" w:hAnsi="Arial Narrow"/>
                <w:b/>
                <w:sz w:val="22"/>
              </w:rPr>
              <w:t xml:space="preserve">Wann wurde </w:t>
            </w:r>
            <w:r w:rsidR="002333FF" w:rsidRPr="00434AB5">
              <w:rPr>
                <w:rFonts w:ascii="Arial Narrow" w:hAnsi="Arial Narrow"/>
                <w:b/>
                <w:sz w:val="22"/>
              </w:rPr>
              <w:t xml:space="preserve">bzw. wird </w:t>
            </w:r>
            <w:r w:rsidRPr="00434AB5">
              <w:rPr>
                <w:rFonts w:ascii="Arial Narrow" w:hAnsi="Arial Narrow"/>
                <w:b/>
                <w:sz w:val="22"/>
              </w:rPr>
              <w:t>die Methode in Ihrem Krankenhaus eingeführt?</w:t>
            </w:r>
          </w:p>
        </w:tc>
      </w:tr>
      <w:tr w:rsidR="00434AB5" w:rsidRPr="00434AB5" w14:paraId="4BC61AB6" w14:textId="77777777">
        <w:tc>
          <w:tcPr>
            <w:tcW w:w="9212" w:type="dxa"/>
          </w:tcPr>
          <w:p w14:paraId="7727C539" w14:textId="77777777" w:rsidR="008E6675" w:rsidRPr="00434AB5" w:rsidRDefault="00983554" w:rsidP="005638EB">
            <w:pPr>
              <w:rPr>
                <w:rFonts w:ascii="Arial Narrow" w:hAnsi="Arial Narrow"/>
              </w:rPr>
            </w:pPr>
            <w:r w:rsidRPr="00434AB5">
              <w:rPr>
                <w:rFonts w:ascii="Arial Narrow" w:hAnsi="Arial Narrow"/>
                <w:sz w:val="22"/>
                <w:highlight w:val="yellow"/>
              </w:rPr>
              <w:t>[bitte ergänzen]</w:t>
            </w:r>
          </w:p>
        </w:tc>
      </w:tr>
    </w:tbl>
    <w:p w14:paraId="09FB8D77"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3D6635CC" w14:textId="77777777">
        <w:tc>
          <w:tcPr>
            <w:tcW w:w="9212" w:type="dxa"/>
          </w:tcPr>
          <w:p w14:paraId="126EBD70" w14:textId="77777777" w:rsidR="008E6675" w:rsidRPr="00434AB5" w:rsidRDefault="008E6675" w:rsidP="005638EB">
            <w:pPr>
              <w:rPr>
                <w:rFonts w:ascii="Arial Narrow" w:hAnsi="Arial Narrow"/>
                <w:b/>
              </w:rPr>
            </w:pPr>
            <w:r w:rsidRPr="00434AB5">
              <w:rPr>
                <w:rFonts w:ascii="Arial Narrow" w:hAnsi="Arial Narrow"/>
                <w:b/>
                <w:sz w:val="22"/>
              </w:rPr>
              <w:t>In wie vielen Kliniken wird diese Methode derzeit eingesetzt (Schätzung)?</w:t>
            </w:r>
          </w:p>
        </w:tc>
      </w:tr>
      <w:tr w:rsidR="00434AB5" w:rsidRPr="00434AB5" w14:paraId="4C00526F" w14:textId="77777777">
        <w:tc>
          <w:tcPr>
            <w:tcW w:w="9212" w:type="dxa"/>
          </w:tcPr>
          <w:p w14:paraId="21DD9094" w14:textId="632DA200" w:rsidR="00C112A6" w:rsidRPr="00434AB5" w:rsidRDefault="003731D3" w:rsidP="003731D3">
            <w:pPr>
              <w:rPr>
                <w:rFonts w:ascii="Arial Narrow" w:hAnsi="Arial Narrow"/>
              </w:rPr>
            </w:pPr>
            <w:r w:rsidRPr="00434AB5">
              <w:rPr>
                <w:rFonts w:ascii="Arial Narrow" w:hAnsi="Arial Narrow"/>
                <w:sz w:val="22"/>
              </w:rPr>
              <w:t>Angiotensin-II</w:t>
            </w:r>
            <w:r w:rsidR="008E6675" w:rsidRPr="00434AB5">
              <w:rPr>
                <w:rFonts w:ascii="Arial Narrow" w:hAnsi="Arial Narrow"/>
                <w:sz w:val="22"/>
              </w:rPr>
              <w:t xml:space="preserve"> wird in ca. </w:t>
            </w:r>
            <w:r w:rsidRPr="00434AB5">
              <w:rPr>
                <w:rFonts w:ascii="Arial Narrow" w:hAnsi="Arial Narrow"/>
                <w:sz w:val="22"/>
              </w:rPr>
              <w:t>111</w:t>
            </w:r>
            <w:r w:rsidR="008E6675" w:rsidRPr="00434AB5">
              <w:rPr>
                <w:rFonts w:ascii="Arial Narrow" w:hAnsi="Arial Narrow"/>
                <w:sz w:val="22"/>
              </w:rPr>
              <w:t xml:space="preserve"> Kliniken in Deutschland eingesetzt (Schätzung</w:t>
            </w:r>
            <w:r w:rsidR="00A100DC" w:rsidRPr="00434AB5">
              <w:rPr>
                <w:rFonts w:ascii="Arial Narrow" w:hAnsi="Arial Narrow"/>
                <w:sz w:val="22"/>
              </w:rPr>
              <w:t xml:space="preserve"> aufgrund der NUB-Anfragen</w:t>
            </w:r>
            <w:r w:rsidR="008E6675" w:rsidRPr="00434AB5">
              <w:rPr>
                <w:rFonts w:ascii="Arial Narrow" w:hAnsi="Arial Narrow"/>
                <w:sz w:val="22"/>
              </w:rPr>
              <w:t xml:space="preserve"> </w:t>
            </w:r>
            <w:r w:rsidR="00C112A6" w:rsidRPr="00434AB5">
              <w:rPr>
                <w:rFonts w:ascii="Arial Narrow" w:hAnsi="Arial Narrow"/>
                <w:sz w:val="22"/>
              </w:rPr>
              <w:t>des Vorjahres</w:t>
            </w:r>
            <w:r w:rsidR="008E6675" w:rsidRPr="00434AB5">
              <w:rPr>
                <w:rFonts w:ascii="Arial Narrow" w:hAnsi="Arial Narrow"/>
                <w:sz w:val="22"/>
              </w:rPr>
              <w:t>).</w:t>
            </w:r>
          </w:p>
        </w:tc>
      </w:tr>
    </w:tbl>
    <w:p w14:paraId="43674FE7"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2BCF6BA3" w14:textId="77777777">
        <w:tc>
          <w:tcPr>
            <w:tcW w:w="9212" w:type="dxa"/>
          </w:tcPr>
          <w:p w14:paraId="6D713A1D" w14:textId="1AB2ACBD" w:rsidR="008E6675" w:rsidRPr="00434AB5" w:rsidRDefault="008E6675" w:rsidP="00285AE4">
            <w:pPr>
              <w:rPr>
                <w:rFonts w:ascii="Arial Narrow" w:hAnsi="Arial Narrow"/>
              </w:rPr>
            </w:pPr>
            <w:r w:rsidRPr="00434AB5">
              <w:rPr>
                <w:rFonts w:ascii="Arial Narrow" w:hAnsi="Arial Narrow"/>
                <w:b/>
                <w:sz w:val="22"/>
              </w:rPr>
              <w:t>Wie viele Patienten wur</w:t>
            </w:r>
            <w:r w:rsidR="000953D2" w:rsidRPr="00434AB5">
              <w:rPr>
                <w:rFonts w:ascii="Arial Narrow" w:hAnsi="Arial Narrow"/>
                <w:b/>
                <w:sz w:val="22"/>
              </w:rPr>
              <w:t>den in Ihrem Krankenhaus in 202</w:t>
            </w:r>
            <w:r w:rsidR="004736E4" w:rsidRPr="00434AB5">
              <w:rPr>
                <w:rFonts w:ascii="Arial Narrow" w:hAnsi="Arial Narrow"/>
                <w:b/>
                <w:sz w:val="22"/>
              </w:rPr>
              <w:t>3</w:t>
            </w:r>
            <w:r w:rsidR="000953D2" w:rsidRPr="00434AB5">
              <w:rPr>
                <w:rFonts w:ascii="Arial Narrow" w:hAnsi="Arial Narrow"/>
                <w:b/>
                <w:sz w:val="22"/>
              </w:rPr>
              <w:t xml:space="preserve"> oder in 202</w:t>
            </w:r>
            <w:r w:rsidR="004736E4" w:rsidRPr="00434AB5">
              <w:rPr>
                <w:rFonts w:ascii="Arial Narrow" w:hAnsi="Arial Narrow"/>
                <w:b/>
                <w:sz w:val="22"/>
              </w:rPr>
              <w:t>4</w:t>
            </w:r>
            <w:r w:rsidRPr="00434AB5">
              <w:rPr>
                <w:rFonts w:ascii="Arial Narrow" w:hAnsi="Arial Narrow"/>
                <w:b/>
                <w:sz w:val="22"/>
              </w:rPr>
              <w:t xml:space="preserve"> mit dieser Methode behandelt?</w:t>
            </w:r>
          </w:p>
        </w:tc>
      </w:tr>
      <w:tr w:rsidR="00434AB5" w:rsidRPr="00434AB5" w14:paraId="5CCFBAD3" w14:textId="77777777">
        <w:tc>
          <w:tcPr>
            <w:tcW w:w="9212" w:type="dxa"/>
          </w:tcPr>
          <w:p w14:paraId="4F6124DB" w14:textId="4372C6C4" w:rsidR="008E6675" w:rsidRPr="00434AB5" w:rsidRDefault="008E6675" w:rsidP="00285AE4">
            <w:pPr>
              <w:rPr>
                <w:rFonts w:ascii="Arial Narrow" w:hAnsi="Arial Narrow"/>
                <w:sz w:val="22"/>
              </w:rPr>
            </w:pPr>
            <w:r w:rsidRPr="00434AB5">
              <w:rPr>
                <w:rFonts w:ascii="Arial Narrow" w:hAnsi="Arial Narrow"/>
                <w:sz w:val="22"/>
              </w:rPr>
              <w:t xml:space="preserve">In </w:t>
            </w:r>
            <w:r w:rsidR="000953D2" w:rsidRPr="00434AB5">
              <w:rPr>
                <w:rFonts w:ascii="Arial Narrow" w:hAnsi="Arial Narrow"/>
                <w:sz w:val="22"/>
              </w:rPr>
              <w:t>202</w:t>
            </w:r>
            <w:r w:rsidR="004736E4" w:rsidRPr="00434AB5">
              <w:rPr>
                <w:rFonts w:ascii="Arial Narrow" w:hAnsi="Arial Narrow"/>
                <w:sz w:val="22"/>
              </w:rPr>
              <w:t>3</w:t>
            </w:r>
          </w:p>
        </w:tc>
      </w:tr>
      <w:tr w:rsidR="00434AB5" w:rsidRPr="00434AB5" w14:paraId="1992E6A2" w14:textId="77777777">
        <w:tc>
          <w:tcPr>
            <w:tcW w:w="9212" w:type="dxa"/>
          </w:tcPr>
          <w:p w14:paraId="283F259E" w14:textId="77777777" w:rsidR="00983554" w:rsidRPr="00434AB5" w:rsidRDefault="00983554" w:rsidP="0036178C">
            <w:pPr>
              <w:rPr>
                <w:rFonts w:ascii="Arial Narrow" w:hAnsi="Arial Narrow"/>
              </w:rPr>
            </w:pPr>
            <w:r w:rsidRPr="00434AB5">
              <w:rPr>
                <w:rFonts w:ascii="Arial Narrow" w:hAnsi="Arial Narrow"/>
                <w:sz w:val="22"/>
                <w:highlight w:val="yellow"/>
              </w:rPr>
              <w:t>[bitte ergänzen]</w:t>
            </w:r>
          </w:p>
        </w:tc>
      </w:tr>
      <w:tr w:rsidR="00434AB5" w:rsidRPr="00434AB5" w14:paraId="175E4977" w14:textId="77777777">
        <w:tc>
          <w:tcPr>
            <w:tcW w:w="9212" w:type="dxa"/>
          </w:tcPr>
          <w:p w14:paraId="33A68C3A" w14:textId="2909E3F7" w:rsidR="008E6675" w:rsidRPr="00434AB5" w:rsidRDefault="008E6675" w:rsidP="00285AE4">
            <w:pPr>
              <w:rPr>
                <w:rFonts w:ascii="Arial Narrow" w:hAnsi="Arial Narrow"/>
                <w:sz w:val="22"/>
              </w:rPr>
            </w:pPr>
            <w:r w:rsidRPr="00434AB5">
              <w:rPr>
                <w:rFonts w:ascii="Arial Narrow" w:hAnsi="Arial Narrow"/>
                <w:sz w:val="22"/>
              </w:rPr>
              <w:t xml:space="preserve">In </w:t>
            </w:r>
            <w:r w:rsidR="000953D2" w:rsidRPr="00434AB5">
              <w:rPr>
                <w:rFonts w:ascii="Arial Narrow" w:hAnsi="Arial Narrow"/>
                <w:sz w:val="22"/>
              </w:rPr>
              <w:t>202</w:t>
            </w:r>
            <w:r w:rsidR="004736E4" w:rsidRPr="00434AB5">
              <w:rPr>
                <w:rFonts w:ascii="Arial Narrow" w:hAnsi="Arial Narrow"/>
                <w:sz w:val="22"/>
              </w:rPr>
              <w:t>4</w:t>
            </w:r>
          </w:p>
        </w:tc>
      </w:tr>
      <w:tr w:rsidR="00434AB5" w:rsidRPr="00434AB5" w14:paraId="6BABCFC8" w14:textId="77777777">
        <w:tc>
          <w:tcPr>
            <w:tcW w:w="9212" w:type="dxa"/>
          </w:tcPr>
          <w:p w14:paraId="17351D25" w14:textId="77777777" w:rsidR="00983554" w:rsidRPr="00434AB5" w:rsidRDefault="00983554" w:rsidP="0036178C">
            <w:pPr>
              <w:rPr>
                <w:rFonts w:ascii="Arial Narrow" w:hAnsi="Arial Narrow"/>
              </w:rPr>
            </w:pPr>
            <w:r w:rsidRPr="00434AB5">
              <w:rPr>
                <w:rFonts w:ascii="Arial Narrow" w:hAnsi="Arial Narrow"/>
                <w:sz w:val="22"/>
                <w:highlight w:val="yellow"/>
              </w:rPr>
              <w:t>[bitte ergänzen]</w:t>
            </w:r>
          </w:p>
        </w:tc>
      </w:tr>
    </w:tbl>
    <w:p w14:paraId="394F2677"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49B8805A" w14:textId="77777777">
        <w:tc>
          <w:tcPr>
            <w:tcW w:w="9212" w:type="dxa"/>
          </w:tcPr>
          <w:p w14:paraId="2C8371FB" w14:textId="400474CA" w:rsidR="008E6675" w:rsidRPr="00434AB5" w:rsidRDefault="008E6675" w:rsidP="00285AE4">
            <w:pPr>
              <w:rPr>
                <w:rFonts w:ascii="Arial Narrow" w:hAnsi="Arial Narrow"/>
              </w:rPr>
            </w:pPr>
            <w:proofErr w:type="spellStart"/>
            <w:r w:rsidRPr="00434AB5">
              <w:rPr>
                <w:rFonts w:ascii="Arial Narrow" w:hAnsi="Arial Narrow"/>
                <w:b/>
                <w:sz w:val="22"/>
              </w:rPr>
              <w:t>Wieviele</w:t>
            </w:r>
            <w:proofErr w:type="spellEnd"/>
            <w:r w:rsidRPr="00434AB5">
              <w:rPr>
                <w:rFonts w:ascii="Arial Narrow" w:hAnsi="Arial Narrow"/>
                <w:b/>
                <w:sz w:val="22"/>
              </w:rPr>
              <w:t xml:space="preserve"> P</w:t>
            </w:r>
            <w:r w:rsidR="00A530BE" w:rsidRPr="00434AB5">
              <w:rPr>
                <w:rFonts w:ascii="Arial Narrow" w:hAnsi="Arial Narrow"/>
                <w:b/>
                <w:sz w:val="22"/>
              </w:rPr>
              <w:t>atienten planen Sie im Jahr 20</w:t>
            </w:r>
            <w:r w:rsidR="000953D2" w:rsidRPr="00434AB5">
              <w:rPr>
                <w:rFonts w:ascii="Arial Narrow" w:hAnsi="Arial Narrow"/>
                <w:b/>
                <w:sz w:val="22"/>
              </w:rPr>
              <w:t>2</w:t>
            </w:r>
            <w:r w:rsidR="004736E4" w:rsidRPr="00434AB5">
              <w:rPr>
                <w:rFonts w:ascii="Arial Narrow" w:hAnsi="Arial Narrow"/>
                <w:b/>
                <w:sz w:val="22"/>
              </w:rPr>
              <w:t>5</w:t>
            </w:r>
            <w:r w:rsidRPr="00434AB5">
              <w:rPr>
                <w:rFonts w:ascii="Arial Narrow" w:hAnsi="Arial Narrow"/>
                <w:b/>
                <w:sz w:val="22"/>
              </w:rPr>
              <w:t xml:space="preserve"> mit dieser Methode zu behandeln?</w:t>
            </w:r>
          </w:p>
        </w:tc>
      </w:tr>
      <w:tr w:rsidR="00434AB5" w:rsidRPr="00434AB5" w14:paraId="742C5EF0" w14:textId="77777777">
        <w:tc>
          <w:tcPr>
            <w:tcW w:w="9212" w:type="dxa"/>
          </w:tcPr>
          <w:p w14:paraId="4620D230" w14:textId="77777777" w:rsidR="00983554" w:rsidRPr="00434AB5" w:rsidRDefault="00983554" w:rsidP="0036178C">
            <w:pPr>
              <w:rPr>
                <w:rFonts w:ascii="Arial Narrow" w:hAnsi="Arial Narrow"/>
              </w:rPr>
            </w:pPr>
            <w:r w:rsidRPr="00434AB5">
              <w:rPr>
                <w:rFonts w:ascii="Arial Narrow" w:hAnsi="Arial Narrow"/>
                <w:sz w:val="22"/>
                <w:highlight w:val="yellow"/>
              </w:rPr>
              <w:t>[bitte ergänzen]</w:t>
            </w:r>
          </w:p>
        </w:tc>
      </w:tr>
    </w:tbl>
    <w:p w14:paraId="654325C8" w14:textId="77777777" w:rsidR="008E6675" w:rsidRPr="00434AB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04A6A805" w14:textId="77777777">
        <w:tc>
          <w:tcPr>
            <w:tcW w:w="9212" w:type="dxa"/>
          </w:tcPr>
          <w:p w14:paraId="5C0D4897" w14:textId="77777777" w:rsidR="008E6675" w:rsidRPr="00434AB5" w:rsidRDefault="008E6675" w:rsidP="005638EB">
            <w:pPr>
              <w:rPr>
                <w:rFonts w:ascii="Arial Narrow" w:hAnsi="Arial Narrow"/>
              </w:rPr>
            </w:pPr>
            <w:r w:rsidRPr="00434AB5">
              <w:rPr>
                <w:rFonts w:ascii="Arial Narrow" w:hAnsi="Arial Narrow"/>
                <w:b/>
                <w:sz w:val="22"/>
              </w:rPr>
              <w:t>Entstehen durch die neue Methode Mehrkosten gegenüber dem bisher üblichen Verfahren? Wenn ja, wodurch? In welcher Höhe (möglichst aufgetrennt nach Personal- und Sachkosten)?</w:t>
            </w:r>
          </w:p>
        </w:tc>
      </w:tr>
      <w:tr w:rsidR="00434AB5" w:rsidRPr="00434AB5" w14:paraId="169DFC57" w14:textId="77777777" w:rsidTr="00A454F3">
        <w:tc>
          <w:tcPr>
            <w:tcW w:w="9212" w:type="dxa"/>
            <w:shd w:val="clear" w:color="auto" w:fill="auto"/>
          </w:tcPr>
          <w:p w14:paraId="751D12DE" w14:textId="77777777" w:rsidR="000953D2" w:rsidRPr="00434AB5" w:rsidRDefault="008E6675" w:rsidP="005638EB">
            <w:pPr>
              <w:rPr>
                <w:rFonts w:ascii="Arial Narrow" w:hAnsi="Arial Narrow"/>
                <w:sz w:val="22"/>
              </w:rPr>
            </w:pPr>
            <w:r w:rsidRPr="00434AB5">
              <w:rPr>
                <w:rFonts w:ascii="Arial Narrow" w:hAnsi="Arial Narrow"/>
                <w:sz w:val="22"/>
              </w:rPr>
              <w:t xml:space="preserve">Sachkosten: </w:t>
            </w:r>
          </w:p>
          <w:p w14:paraId="686AEA76" w14:textId="14A077F2" w:rsidR="00E32462" w:rsidRPr="00434AB5" w:rsidRDefault="00E32462" w:rsidP="00E32462">
            <w:pPr>
              <w:pStyle w:val="TextkrperDossier"/>
              <w:rPr>
                <w:rFonts w:ascii="Arial Narrow" w:hAnsi="Arial Narrow"/>
                <w:color w:val="auto"/>
                <w:sz w:val="22"/>
              </w:rPr>
            </w:pPr>
            <w:r w:rsidRPr="00434AB5">
              <w:rPr>
                <w:rFonts w:ascii="Arial Narrow" w:hAnsi="Arial Narrow"/>
                <w:color w:val="auto"/>
                <w:sz w:val="22"/>
              </w:rPr>
              <w:t>GIAPREZA</w:t>
            </w:r>
            <w:r w:rsidRPr="00954E55">
              <w:rPr>
                <w:rFonts w:ascii="Arial Narrow" w:hAnsi="Arial Narrow"/>
                <w:color w:val="auto"/>
                <w:sz w:val="22"/>
                <w:vertAlign w:val="superscript"/>
              </w:rPr>
              <w:t>®</w:t>
            </w:r>
            <w:r w:rsidRPr="00434AB5">
              <w:rPr>
                <w:rFonts w:ascii="Arial Narrow" w:hAnsi="Arial Narrow"/>
                <w:color w:val="auto"/>
                <w:sz w:val="22"/>
              </w:rPr>
              <w:t xml:space="preserve"> steht als Durchstechflasche mit 1ml Konzentrat zur Herstellung einer Infusionslösung bereit. 1ml Konzentrat enthält 2,5mg Angiotensin II. </w:t>
            </w:r>
          </w:p>
          <w:p w14:paraId="0A97E4C0" w14:textId="168F3CAB" w:rsidR="00010B08" w:rsidRPr="00434AB5" w:rsidRDefault="00010B08" w:rsidP="005638EB">
            <w:pPr>
              <w:rPr>
                <w:rFonts w:ascii="Arial Narrow" w:hAnsi="Arial Narrow"/>
                <w:sz w:val="22"/>
              </w:rPr>
            </w:pPr>
            <w:r w:rsidRPr="00434AB5">
              <w:rPr>
                <w:rFonts w:ascii="Arial Narrow" w:hAnsi="Arial Narrow"/>
                <w:sz w:val="22"/>
              </w:rPr>
              <w:t xml:space="preserve">Für Angiotensin-II liegt keine amtliche </w:t>
            </w:r>
            <w:proofErr w:type="spellStart"/>
            <w:r w:rsidRPr="00434AB5">
              <w:rPr>
                <w:rFonts w:ascii="Arial Narrow" w:hAnsi="Arial Narrow"/>
                <w:sz w:val="22"/>
              </w:rPr>
              <w:t>Defined</w:t>
            </w:r>
            <w:proofErr w:type="spellEnd"/>
            <w:r w:rsidRPr="00434AB5">
              <w:rPr>
                <w:rFonts w:ascii="Arial Narrow" w:hAnsi="Arial Narrow"/>
                <w:sz w:val="22"/>
              </w:rPr>
              <w:t xml:space="preserve"> Daily Dose (DDD) vor, daher wird der Jahresdurchschnittsverbrauch, d.h. der Verbrauch pro Behandlung auf der Intensivstation, aus den Angaben der Fachinformation in Milligramm und dem Verbrauch in der </w:t>
            </w:r>
            <w:proofErr w:type="spellStart"/>
            <w:r w:rsidRPr="00434AB5">
              <w:rPr>
                <w:rFonts w:ascii="Arial Narrow" w:hAnsi="Arial Narrow"/>
                <w:sz w:val="22"/>
              </w:rPr>
              <w:t>pivotalen</w:t>
            </w:r>
            <w:proofErr w:type="spellEnd"/>
            <w:r w:rsidRPr="00434AB5">
              <w:rPr>
                <w:rFonts w:ascii="Arial Narrow" w:hAnsi="Arial Narrow"/>
                <w:sz w:val="22"/>
              </w:rPr>
              <w:t xml:space="preserve"> Studie ATHOS 3 für die Berechnung herangezogen. Laut klinischem Studienbericht erhielten die Patienten im Mittel 4,32 mg Angiotensin-II mit einer Standardabweichung von 4,14 und einer Spanne von 0,09 – 21,77. Ausgehend vom Durchschnittsverbrauch benötigt man 2 Durchstechflaschen mit 2,5 mg Angiotensin-II. Daraus entstehen Zusatzkosten für die zu verabreichende Therapie in Höhe </w:t>
            </w:r>
            <w:r w:rsidRPr="00A454F3">
              <w:rPr>
                <w:rFonts w:ascii="Arial Narrow" w:hAnsi="Arial Narrow"/>
                <w:sz w:val="22"/>
              </w:rPr>
              <w:t xml:space="preserve">von </w:t>
            </w:r>
            <w:r w:rsidR="009D262E" w:rsidRPr="00A454F3">
              <w:rPr>
                <w:rFonts w:ascii="Arial Narrow" w:hAnsi="Arial Narrow"/>
                <w:sz w:val="22"/>
              </w:rPr>
              <w:t>952</w:t>
            </w:r>
            <w:r w:rsidRPr="00A454F3">
              <w:rPr>
                <w:rFonts w:ascii="Arial Narrow" w:hAnsi="Arial Narrow"/>
                <w:sz w:val="22"/>
              </w:rPr>
              <w:t xml:space="preserve">,00 € </w:t>
            </w:r>
            <w:r w:rsidR="00A454F3" w:rsidRPr="00A454F3">
              <w:rPr>
                <w:rFonts w:ascii="Arial Narrow" w:hAnsi="Arial Narrow"/>
                <w:sz w:val="22"/>
              </w:rPr>
              <w:t xml:space="preserve">(inkl. MwSt.) </w:t>
            </w:r>
            <w:r w:rsidRPr="00A454F3">
              <w:rPr>
                <w:rFonts w:ascii="Arial Narrow" w:hAnsi="Arial Narrow"/>
                <w:sz w:val="22"/>
              </w:rPr>
              <w:t>pro Aufenthalt</w:t>
            </w:r>
            <w:r w:rsidR="00A454F3" w:rsidRPr="00A454F3">
              <w:rPr>
                <w:rFonts w:ascii="Arial Narrow" w:hAnsi="Arial Narrow"/>
                <w:sz w:val="22"/>
              </w:rPr>
              <w:t>.</w:t>
            </w:r>
          </w:p>
          <w:p w14:paraId="0227303F" w14:textId="2A819861" w:rsidR="00E32462" w:rsidRPr="00434AB5" w:rsidRDefault="00010B08" w:rsidP="005638EB">
            <w:pPr>
              <w:rPr>
                <w:rFonts w:ascii="Arial Narrow" w:hAnsi="Arial Narrow"/>
                <w:sz w:val="22"/>
              </w:rPr>
            </w:pPr>
            <w:r w:rsidRPr="00434AB5">
              <w:rPr>
                <w:rFonts w:ascii="Arial Narrow" w:hAnsi="Arial Narrow"/>
                <w:sz w:val="22"/>
              </w:rPr>
              <w:t xml:space="preserve">Für einen Patienten mit einem maximal möglichen Verbrauch von 20 mg Angiotensin-II benötigte man 8 Durchstechflaschen, was Sachkosten in Höhe von </w:t>
            </w:r>
            <w:r w:rsidRPr="00196292">
              <w:rPr>
                <w:rFonts w:ascii="Arial Narrow" w:hAnsi="Arial Narrow"/>
                <w:sz w:val="22"/>
              </w:rPr>
              <w:t>3.</w:t>
            </w:r>
            <w:r w:rsidR="00196292" w:rsidRPr="00196292">
              <w:rPr>
                <w:rFonts w:ascii="Arial Narrow" w:hAnsi="Arial Narrow"/>
                <w:sz w:val="22"/>
              </w:rPr>
              <w:t>808</w:t>
            </w:r>
            <w:r w:rsidRPr="00196292">
              <w:rPr>
                <w:rFonts w:ascii="Arial Narrow" w:hAnsi="Arial Narrow"/>
                <w:sz w:val="22"/>
              </w:rPr>
              <w:t xml:space="preserve">,00 € </w:t>
            </w:r>
            <w:r w:rsidR="00196292" w:rsidRPr="00196292">
              <w:rPr>
                <w:rFonts w:ascii="Arial Narrow" w:hAnsi="Arial Narrow"/>
                <w:sz w:val="22"/>
              </w:rPr>
              <w:t>(</w:t>
            </w:r>
            <w:r w:rsidR="00196292">
              <w:rPr>
                <w:rFonts w:ascii="Arial Narrow" w:hAnsi="Arial Narrow"/>
                <w:sz w:val="22"/>
              </w:rPr>
              <w:t xml:space="preserve">inkl. MwSt.) </w:t>
            </w:r>
            <w:r w:rsidRPr="00434AB5">
              <w:rPr>
                <w:rFonts w:ascii="Arial Narrow" w:hAnsi="Arial Narrow"/>
                <w:sz w:val="22"/>
              </w:rPr>
              <w:t>entspricht.</w:t>
            </w:r>
          </w:p>
          <w:p w14:paraId="04B28E34" w14:textId="77777777" w:rsidR="0078272D" w:rsidRPr="00434AB5" w:rsidRDefault="0078272D" w:rsidP="00A530BE">
            <w:pPr>
              <w:rPr>
                <w:rFonts w:ascii="Arial Narrow" w:hAnsi="Arial Narrow"/>
                <w:sz w:val="22"/>
              </w:rPr>
            </w:pPr>
          </w:p>
          <w:p w14:paraId="51062227" w14:textId="7F691CD3" w:rsidR="00A530BE" w:rsidRPr="00434AB5" w:rsidRDefault="00E32462" w:rsidP="005638EB">
            <w:pPr>
              <w:rPr>
                <w:rFonts w:ascii="Arial Narrow" w:hAnsi="Arial Narrow"/>
                <w:sz w:val="22"/>
              </w:rPr>
            </w:pPr>
            <w:r w:rsidRPr="00434AB5">
              <w:rPr>
                <w:rFonts w:ascii="Arial Narrow" w:hAnsi="Arial Narrow"/>
                <w:sz w:val="22"/>
              </w:rPr>
              <w:t>Personalkosten:</w:t>
            </w:r>
          </w:p>
          <w:p w14:paraId="3B620C90" w14:textId="77777777" w:rsidR="00A530BE" w:rsidRPr="00434AB5" w:rsidRDefault="00A530BE" w:rsidP="005638EB">
            <w:pPr>
              <w:rPr>
                <w:rFonts w:ascii="Arial Narrow" w:hAnsi="Arial Narrow"/>
                <w:sz w:val="22"/>
              </w:rPr>
            </w:pPr>
            <w:r w:rsidRPr="00434AB5">
              <w:rPr>
                <w:rFonts w:ascii="Arial Narrow" w:hAnsi="Arial Narrow"/>
                <w:sz w:val="22"/>
              </w:rPr>
              <w:t>Für die Applikation: ca. 5 Minuten (ÄD) und ca. 5 Minuten (PD)</w:t>
            </w:r>
          </w:p>
          <w:p w14:paraId="7D03D20B" w14:textId="6D2B459F" w:rsidR="00156FE0" w:rsidRPr="00434AB5" w:rsidRDefault="00A530BE" w:rsidP="007A314E">
            <w:pPr>
              <w:rPr>
                <w:rFonts w:ascii="Arial Narrow" w:hAnsi="Arial Narrow"/>
                <w:sz w:val="22"/>
              </w:rPr>
            </w:pPr>
            <w:r w:rsidRPr="00434AB5">
              <w:rPr>
                <w:rFonts w:ascii="Arial Narrow" w:hAnsi="Arial Narrow"/>
                <w:sz w:val="22"/>
              </w:rPr>
              <w:t>Für die Überwachung: ca. 30 Minuten (PD), ca. 10 Minuten (ÄD)</w:t>
            </w:r>
          </w:p>
        </w:tc>
      </w:tr>
    </w:tbl>
    <w:p w14:paraId="45E65153" w14:textId="77777777" w:rsidR="008E6675" w:rsidRPr="00434AB5"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0D84EF57" w14:textId="77777777">
        <w:tc>
          <w:tcPr>
            <w:tcW w:w="9212" w:type="dxa"/>
          </w:tcPr>
          <w:p w14:paraId="2FCAAE14" w14:textId="77777777" w:rsidR="008E6675" w:rsidRPr="00434AB5" w:rsidRDefault="008E6675" w:rsidP="005638EB">
            <w:pPr>
              <w:rPr>
                <w:rFonts w:ascii="Arial Narrow" w:hAnsi="Arial Narrow"/>
              </w:rPr>
            </w:pPr>
            <w:r w:rsidRPr="00434AB5">
              <w:rPr>
                <w:rFonts w:ascii="Arial Narrow" w:hAnsi="Arial Narrow"/>
                <w:b/>
                <w:sz w:val="22"/>
              </w:rPr>
              <w:t>Welche DRG(s) ist/sind am häufigsten von dieser Methode betroffen?</w:t>
            </w:r>
          </w:p>
        </w:tc>
      </w:tr>
      <w:tr w:rsidR="00434AB5" w:rsidRPr="00434AB5" w14:paraId="56F9F66E" w14:textId="77777777">
        <w:tc>
          <w:tcPr>
            <w:tcW w:w="9212" w:type="dxa"/>
          </w:tcPr>
          <w:p w14:paraId="61ADEA4C" w14:textId="42641DF1" w:rsidR="008E6675" w:rsidRDefault="003731D3" w:rsidP="005638EB">
            <w:pPr>
              <w:rPr>
                <w:rFonts w:ascii="Arial Narrow" w:hAnsi="Arial Narrow"/>
                <w:sz w:val="22"/>
              </w:rPr>
            </w:pPr>
            <w:r w:rsidRPr="00434AB5">
              <w:rPr>
                <w:rFonts w:ascii="Arial Narrow" w:hAnsi="Arial Narrow"/>
                <w:sz w:val="22"/>
              </w:rPr>
              <w:t>T60</w:t>
            </w:r>
            <w:r w:rsidR="00024E80">
              <w:rPr>
                <w:rFonts w:ascii="Arial Narrow" w:hAnsi="Arial Narrow"/>
                <w:sz w:val="22"/>
              </w:rPr>
              <w:t>F</w:t>
            </w:r>
          </w:p>
          <w:p w14:paraId="6C515C7B" w14:textId="2F3665F4" w:rsidR="00024E80" w:rsidRDefault="00024E80" w:rsidP="005638EB">
            <w:pPr>
              <w:rPr>
                <w:rFonts w:ascii="Arial Narrow" w:hAnsi="Arial Narrow"/>
                <w:sz w:val="22"/>
              </w:rPr>
            </w:pPr>
            <w:r>
              <w:rPr>
                <w:rFonts w:ascii="Arial Narrow" w:hAnsi="Arial Narrow"/>
                <w:sz w:val="22"/>
              </w:rPr>
              <w:t>T60E</w:t>
            </w:r>
          </w:p>
          <w:p w14:paraId="657FC197" w14:textId="55F7BFF0" w:rsidR="00024E80" w:rsidRDefault="00024E80" w:rsidP="005638EB">
            <w:pPr>
              <w:rPr>
                <w:rFonts w:ascii="Arial Narrow" w:hAnsi="Arial Narrow"/>
                <w:sz w:val="22"/>
              </w:rPr>
            </w:pPr>
            <w:r>
              <w:rPr>
                <w:rFonts w:ascii="Arial Narrow" w:hAnsi="Arial Narrow"/>
                <w:sz w:val="22"/>
              </w:rPr>
              <w:t>T60C</w:t>
            </w:r>
          </w:p>
          <w:p w14:paraId="24773549" w14:textId="70246620" w:rsidR="00024E80" w:rsidRPr="00434AB5" w:rsidRDefault="00024E80" w:rsidP="005638EB">
            <w:pPr>
              <w:rPr>
                <w:rFonts w:ascii="Arial Narrow" w:hAnsi="Arial Narrow"/>
                <w:sz w:val="22"/>
              </w:rPr>
            </w:pPr>
            <w:r>
              <w:rPr>
                <w:rFonts w:ascii="Arial Narrow" w:hAnsi="Arial Narrow"/>
                <w:sz w:val="22"/>
              </w:rPr>
              <w:t>T60G</w:t>
            </w:r>
          </w:p>
          <w:p w14:paraId="3FDE8751" w14:textId="5BAACC15" w:rsidR="003731D3" w:rsidRPr="00434AB5" w:rsidRDefault="003731D3" w:rsidP="005638EB">
            <w:pPr>
              <w:rPr>
                <w:rFonts w:ascii="Arial Narrow" w:hAnsi="Arial Narrow"/>
                <w:sz w:val="22"/>
              </w:rPr>
            </w:pPr>
            <w:r w:rsidRPr="00434AB5">
              <w:rPr>
                <w:rFonts w:ascii="Arial Narrow" w:hAnsi="Arial Narrow"/>
                <w:sz w:val="22"/>
              </w:rPr>
              <w:t>T36Z</w:t>
            </w:r>
          </w:p>
        </w:tc>
      </w:tr>
    </w:tbl>
    <w:p w14:paraId="4E6FC927" w14:textId="77777777" w:rsidR="008E6675" w:rsidRPr="00434AB5"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34AB5" w:rsidRPr="00434AB5" w14:paraId="4E9DF4AB" w14:textId="77777777">
        <w:tc>
          <w:tcPr>
            <w:tcW w:w="9212" w:type="dxa"/>
          </w:tcPr>
          <w:p w14:paraId="3184CC4A" w14:textId="77777777" w:rsidR="008E6675" w:rsidRPr="00434AB5" w:rsidRDefault="008E6675" w:rsidP="005638EB">
            <w:pPr>
              <w:rPr>
                <w:rFonts w:ascii="Arial Narrow" w:hAnsi="Arial Narrow"/>
              </w:rPr>
            </w:pPr>
            <w:r w:rsidRPr="00434AB5">
              <w:rPr>
                <w:rFonts w:ascii="Arial Narrow" w:hAnsi="Arial Narrow"/>
                <w:b/>
                <w:sz w:val="22"/>
              </w:rPr>
              <w:t>Warum ist diese Methode aus Ihrer Sicht derzeit im G-DRG-System nicht sachgerecht abgebildet?</w:t>
            </w:r>
          </w:p>
        </w:tc>
      </w:tr>
      <w:tr w:rsidR="00434AB5" w:rsidRPr="00434AB5" w14:paraId="3100E4A7" w14:textId="77777777">
        <w:tc>
          <w:tcPr>
            <w:tcW w:w="9212" w:type="dxa"/>
          </w:tcPr>
          <w:p w14:paraId="1CC03065" w14:textId="7309D01F" w:rsidR="008E6675" w:rsidRPr="00434AB5" w:rsidRDefault="00416EC3" w:rsidP="005638EB">
            <w:pPr>
              <w:rPr>
                <w:rFonts w:ascii="Arial Narrow" w:hAnsi="Arial Narrow"/>
                <w:sz w:val="22"/>
              </w:rPr>
            </w:pPr>
            <w:r w:rsidRPr="00434AB5">
              <w:rPr>
                <w:rFonts w:ascii="Arial Narrow" w:hAnsi="Arial Narrow"/>
                <w:sz w:val="22"/>
              </w:rPr>
              <w:t>Angiotensi</w:t>
            </w:r>
            <w:r w:rsidR="00434AB5" w:rsidRPr="00434AB5">
              <w:rPr>
                <w:rFonts w:ascii="Arial Narrow" w:hAnsi="Arial Narrow"/>
                <w:sz w:val="22"/>
              </w:rPr>
              <w:t>n</w:t>
            </w:r>
            <w:r w:rsidRPr="00434AB5">
              <w:rPr>
                <w:rFonts w:ascii="Arial Narrow" w:hAnsi="Arial Narrow"/>
                <w:sz w:val="22"/>
              </w:rPr>
              <w:t xml:space="preserve">-II-Acetat </w:t>
            </w:r>
            <w:r w:rsidR="008E6675" w:rsidRPr="00434AB5">
              <w:rPr>
                <w:rFonts w:ascii="Arial Narrow" w:hAnsi="Arial Narrow"/>
                <w:sz w:val="22"/>
              </w:rPr>
              <w:t xml:space="preserve">wurde im Jahr </w:t>
            </w:r>
            <w:r w:rsidRPr="00434AB5">
              <w:rPr>
                <w:rFonts w:ascii="Arial Narrow" w:hAnsi="Arial Narrow"/>
                <w:sz w:val="22"/>
              </w:rPr>
              <w:t>2019</w:t>
            </w:r>
            <w:r w:rsidR="006549F4" w:rsidRPr="00434AB5">
              <w:rPr>
                <w:rFonts w:ascii="Arial Narrow" w:hAnsi="Arial Narrow"/>
                <w:sz w:val="22"/>
              </w:rPr>
              <w:t xml:space="preserve"> </w:t>
            </w:r>
            <w:r w:rsidR="008E6675" w:rsidRPr="00434AB5">
              <w:rPr>
                <w:rFonts w:ascii="Arial Narrow" w:hAnsi="Arial Narrow"/>
                <w:sz w:val="22"/>
              </w:rPr>
              <w:t xml:space="preserve">zugelassen und ist seit dem Jahr </w:t>
            </w:r>
            <w:r w:rsidRPr="00434AB5">
              <w:rPr>
                <w:rFonts w:ascii="Arial Narrow" w:hAnsi="Arial Narrow"/>
                <w:sz w:val="22"/>
              </w:rPr>
              <w:t>2021</w:t>
            </w:r>
            <w:r w:rsidR="006549F4" w:rsidRPr="00434AB5">
              <w:rPr>
                <w:rFonts w:ascii="Arial Narrow" w:hAnsi="Arial Narrow"/>
                <w:sz w:val="22"/>
              </w:rPr>
              <w:t xml:space="preserve"> </w:t>
            </w:r>
            <w:r w:rsidR="008E6675" w:rsidRPr="00434AB5">
              <w:rPr>
                <w:rFonts w:ascii="Arial Narrow" w:hAnsi="Arial Narrow"/>
                <w:sz w:val="22"/>
              </w:rPr>
              <w:t xml:space="preserve">in Deutschland auf dem Markt. </w:t>
            </w:r>
          </w:p>
          <w:p w14:paraId="140D583A" w14:textId="4B30A2A7" w:rsidR="008E6675" w:rsidRPr="00434AB5" w:rsidRDefault="001774E7" w:rsidP="008C1686">
            <w:pPr>
              <w:rPr>
                <w:rFonts w:ascii="Arial Narrow" w:hAnsi="Arial Narrow"/>
                <w:sz w:val="22"/>
              </w:rPr>
            </w:pPr>
            <w:r w:rsidRPr="00434AB5">
              <w:rPr>
                <w:rFonts w:ascii="Arial Narrow" w:hAnsi="Arial Narrow"/>
                <w:sz w:val="22"/>
              </w:rPr>
              <w:t>Für das Datenjahr 202</w:t>
            </w:r>
            <w:r w:rsidR="004736E4" w:rsidRPr="00434AB5">
              <w:rPr>
                <w:rFonts w:ascii="Arial Narrow" w:hAnsi="Arial Narrow"/>
                <w:sz w:val="22"/>
              </w:rPr>
              <w:t>3</w:t>
            </w:r>
            <w:r w:rsidR="008E6675" w:rsidRPr="00434AB5">
              <w:rPr>
                <w:rFonts w:ascii="Arial Narrow" w:hAnsi="Arial Narrow"/>
                <w:sz w:val="22"/>
              </w:rPr>
              <w:t xml:space="preserve"> sollten </w:t>
            </w:r>
            <w:r w:rsidR="004736E4" w:rsidRPr="00434AB5">
              <w:rPr>
                <w:rFonts w:ascii="Arial Narrow" w:hAnsi="Arial Narrow"/>
                <w:sz w:val="22"/>
              </w:rPr>
              <w:t xml:space="preserve">daher </w:t>
            </w:r>
            <w:r w:rsidR="006549F4" w:rsidRPr="00434AB5">
              <w:rPr>
                <w:rFonts w:ascii="Arial Narrow" w:hAnsi="Arial Narrow"/>
                <w:sz w:val="22"/>
              </w:rPr>
              <w:t xml:space="preserve">aus den Kalkulationshäusern </w:t>
            </w:r>
            <w:r w:rsidR="008E6675" w:rsidRPr="00434AB5">
              <w:rPr>
                <w:rFonts w:ascii="Arial Narrow" w:hAnsi="Arial Narrow"/>
                <w:sz w:val="22"/>
              </w:rPr>
              <w:t xml:space="preserve">Kostendaten für den Einsatz vorliegen. </w:t>
            </w:r>
          </w:p>
          <w:p w14:paraId="5EFE7220" w14:textId="490A1DB7" w:rsidR="008E6675" w:rsidRPr="00434AB5" w:rsidRDefault="008E6675" w:rsidP="008C1686">
            <w:pPr>
              <w:rPr>
                <w:rFonts w:ascii="Arial Narrow" w:hAnsi="Arial Narrow"/>
                <w:sz w:val="22"/>
              </w:rPr>
            </w:pPr>
            <w:r w:rsidRPr="00434AB5">
              <w:rPr>
                <w:rFonts w:ascii="Arial Narrow" w:hAnsi="Arial Narrow"/>
                <w:sz w:val="22"/>
              </w:rPr>
              <w:lastRenderedPageBreak/>
              <w:t xml:space="preserve">Wir vermuten, dass </w:t>
            </w:r>
            <w:r w:rsidR="002674B1" w:rsidRPr="00434AB5">
              <w:rPr>
                <w:rFonts w:ascii="Arial Narrow" w:hAnsi="Arial Narrow"/>
                <w:sz w:val="22"/>
              </w:rPr>
              <w:t xml:space="preserve">die Stichprobe </w:t>
            </w:r>
            <w:r w:rsidR="002674B1">
              <w:rPr>
                <w:rFonts w:ascii="Arial Narrow" w:hAnsi="Arial Narrow"/>
                <w:sz w:val="22"/>
              </w:rPr>
              <w:t xml:space="preserve">aufgrund der breiten Streuung der Diagnosekodes R57.2 und R57.8 </w:t>
            </w:r>
            <w:r w:rsidR="00A100DC" w:rsidRPr="00434AB5">
              <w:rPr>
                <w:rFonts w:ascii="Arial Narrow" w:hAnsi="Arial Narrow"/>
                <w:sz w:val="22"/>
              </w:rPr>
              <w:t>jedoch zu klein war</w:t>
            </w:r>
            <w:r w:rsidRPr="00434AB5">
              <w:rPr>
                <w:rFonts w:ascii="Arial Narrow" w:hAnsi="Arial Narrow"/>
                <w:sz w:val="22"/>
              </w:rPr>
              <w:t>, als dass genügend Kosten- und Leistungsinformationen aus den Krankenhäusern vorliegen, um damit eine sachgerechte Abbildung im G-DRG System 20</w:t>
            </w:r>
            <w:r w:rsidR="001774E7" w:rsidRPr="00434AB5">
              <w:rPr>
                <w:rFonts w:ascii="Arial Narrow" w:hAnsi="Arial Narrow"/>
                <w:sz w:val="22"/>
              </w:rPr>
              <w:t>2</w:t>
            </w:r>
            <w:r w:rsidR="004736E4" w:rsidRPr="00434AB5">
              <w:rPr>
                <w:rFonts w:ascii="Arial Narrow" w:hAnsi="Arial Narrow"/>
                <w:sz w:val="22"/>
              </w:rPr>
              <w:t>5</w:t>
            </w:r>
            <w:r w:rsidRPr="00434AB5">
              <w:rPr>
                <w:rFonts w:ascii="Arial Narrow" w:hAnsi="Arial Narrow"/>
                <w:sz w:val="22"/>
              </w:rPr>
              <w:t xml:space="preserve"> zu ermöglichen.</w:t>
            </w:r>
            <w:r w:rsidR="002674B1">
              <w:rPr>
                <w:rFonts w:ascii="Arial Narrow" w:hAnsi="Arial Narrow"/>
                <w:sz w:val="22"/>
              </w:rPr>
              <w:t xml:space="preserve"> </w:t>
            </w:r>
            <w:r w:rsidR="00FF67FC" w:rsidRPr="00434AB5">
              <w:rPr>
                <w:rFonts w:ascii="Arial Narrow" w:hAnsi="Arial Narrow"/>
                <w:sz w:val="22"/>
              </w:rPr>
              <w:t>Ferner gibt es bislang keinen OPS-Kode für die Anwendung von Angiotensin</w:t>
            </w:r>
            <w:r w:rsidR="00434AB5" w:rsidRPr="00434AB5">
              <w:rPr>
                <w:rFonts w:ascii="Arial Narrow" w:hAnsi="Arial Narrow"/>
                <w:sz w:val="22"/>
              </w:rPr>
              <w:t>-II</w:t>
            </w:r>
            <w:r w:rsidR="00FF67FC" w:rsidRPr="00434AB5">
              <w:rPr>
                <w:rFonts w:ascii="Arial Narrow" w:hAnsi="Arial Narrow"/>
                <w:sz w:val="22"/>
              </w:rPr>
              <w:t xml:space="preserve">, sodass </w:t>
            </w:r>
            <w:r w:rsidR="00434AB5" w:rsidRPr="00434AB5">
              <w:rPr>
                <w:rFonts w:ascii="Arial Narrow" w:hAnsi="Arial Narrow"/>
                <w:sz w:val="22"/>
              </w:rPr>
              <w:t xml:space="preserve">darüber </w:t>
            </w:r>
            <w:r w:rsidR="00FF67FC" w:rsidRPr="00434AB5">
              <w:rPr>
                <w:rFonts w:ascii="Arial Narrow" w:hAnsi="Arial Narrow"/>
                <w:sz w:val="22"/>
              </w:rPr>
              <w:t xml:space="preserve">eine sichere patientenindividuelle Zuordnung der Kosten im Kalkulationsverfahren nicht möglich ist. </w:t>
            </w:r>
          </w:p>
          <w:p w14:paraId="626D1349" w14:textId="4C94318F" w:rsidR="008E6675" w:rsidRPr="00434AB5" w:rsidRDefault="008E6675" w:rsidP="008C1686">
            <w:pPr>
              <w:rPr>
                <w:rFonts w:ascii="Arial Narrow" w:hAnsi="Arial Narrow"/>
                <w:sz w:val="22"/>
              </w:rPr>
            </w:pPr>
            <w:r w:rsidRPr="00434AB5">
              <w:rPr>
                <w:rFonts w:ascii="Arial Narrow" w:hAnsi="Arial Narrow"/>
                <w:sz w:val="22"/>
              </w:rPr>
              <w:t xml:space="preserve">Die zusätzlichen Kosten von ca. </w:t>
            </w:r>
            <w:r w:rsidR="00196292">
              <w:rPr>
                <w:rFonts w:ascii="Arial Narrow" w:hAnsi="Arial Narrow"/>
                <w:sz w:val="22"/>
              </w:rPr>
              <w:t>952,00</w:t>
            </w:r>
            <w:r w:rsidR="00434AB5" w:rsidRPr="00434AB5">
              <w:rPr>
                <w:rFonts w:ascii="Arial Narrow" w:hAnsi="Arial Narrow"/>
                <w:sz w:val="22"/>
              </w:rPr>
              <w:t xml:space="preserve"> – 3.</w:t>
            </w:r>
            <w:r w:rsidR="005818E2">
              <w:rPr>
                <w:rFonts w:ascii="Arial Narrow" w:hAnsi="Arial Narrow"/>
                <w:sz w:val="22"/>
              </w:rPr>
              <w:t>808,00</w:t>
            </w:r>
            <w:r w:rsidR="00434AB5" w:rsidRPr="00434AB5">
              <w:rPr>
                <w:rFonts w:ascii="Arial Narrow" w:hAnsi="Arial Narrow"/>
                <w:sz w:val="22"/>
              </w:rPr>
              <w:t xml:space="preserve"> €</w:t>
            </w:r>
            <w:r w:rsidR="001774E7" w:rsidRPr="00434AB5">
              <w:rPr>
                <w:rFonts w:ascii="Arial Narrow" w:hAnsi="Arial Narrow"/>
                <w:sz w:val="22"/>
              </w:rPr>
              <w:t>/Aufenthalt</w:t>
            </w:r>
            <w:r w:rsidRPr="00434AB5">
              <w:rPr>
                <w:rFonts w:ascii="Arial Narrow" w:hAnsi="Arial Narrow"/>
                <w:sz w:val="22"/>
              </w:rPr>
              <w:t xml:space="preserve"> können aber mit der</w:t>
            </w:r>
            <w:r w:rsidR="00A100DC" w:rsidRPr="00434AB5">
              <w:rPr>
                <w:rFonts w:ascii="Arial Narrow" w:hAnsi="Arial Narrow"/>
                <w:sz w:val="22"/>
              </w:rPr>
              <w:t>/den o.g.</w:t>
            </w:r>
            <w:r w:rsidRPr="00434AB5">
              <w:rPr>
                <w:rFonts w:ascii="Arial Narrow" w:hAnsi="Arial Narrow"/>
                <w:sz w:val="22"/>
              </w:rPr>
              <w:t xml:space="preserve"> Fallpauschale</w:t>
            </w:r>
            <w:r w:rsidR="00A100DC" w:rsidRPr="00434AB5">
              <w:rPr>
                <w:rFonts w:ascii="Arial Narrow" w:hAnsi="Arial Narrow"/>
                <w:sz w:val="22"/>
              </w:rPr>
              <w:t>(n)</w:t>
            </w:r>
            <w:r w:rsidRPr="00434AB5">
              <w:rPr>
                <w:rFonts w:ascii="Arial Narrow" w:hAnsi="Arial Narrow"/>
                <w:sz w:val="22"/>
              </w:rPr>
              <w:t xml:space="preserve"> allein nicht ausreichend abgebildet werden und </w:t>
            </w:r>
            <w:r w:rsidR="00FF67FC" w:rsidRPr="00434AB5">
              <w:rPr>
                <w:rFonts w:ascii="Arial Narrow" w:hAnsi="Arial Narrow"/>
                <w:sz w:val="22"/>
              </w:rPr>
              <w:t>Angiotensin-II-Acetat</w:t>
            </w:r>
            <w:r w:rsidR="006549F4" w:rsidRPr="00434AB5">
              <w:rPr>
                <w:rFonts w:ascii="Arial Narrow" w:hAnsi="Arial Narrow"/>
                <w:sz w:val="22"/>
              </w:rPr>
              <w:t xml:space="preserve"> </w:t>
            </w:r>
            <w:r w:rsidRPr="00434AB5">
              <w:rPr>
                <w:rFonts w:ascii="Arial Narrow" w:hAnsi="Arial Narrow"/>
                <w:sz w:val="22"/>
              </w:rPr>
              <w:t xml:space="preserve">ist bisher im ZE Katalog nicht enthalten. </w:t>
            </w:r>
          </w:p>
          <w:p w14:paraId="222643B9" w14:textId="037D570A" w:rsidR="008E6675" w:rsidRPr="00434AB5" w:rsidRDefault="008E6675" w:rsidP="0004094A">
            <w:pPr>
              <w:rPr>
                <w:rFonts w:ascii="Arial Narrow" w:hAnsi="Arial Narrow"/>
                <w:sz w:val="22"/>
              </w:rPr>
            </w:pPr>
            <w:r w:rsidRPr="00434AB5">
              <w:rPr>
                <w:rFonts w:ascii="Arial Narrow" w:hAnsi="Arial Narrow"/>
                <w:sz w:val="22"/>
              </w:rPr>
              <w:t xml:space="preserve">Aufgrund der hohen Kosten des Medikaments kommt es zu einer </w:t>
            </w:r>
            <w:r w:rsidR="00CB3CA3" w:rsidRPr="00434AB5">
              <w:rPr>
                <w:rFonts w:ascii="Arial Narrow" w:hAnsi="Arial Narrow"/>
                <w:sz w:val="22"/>
              </w:rPr>
              <w:t>Unterfinanzierung</w:t>
            </w:r>
            <w:r w:rsidRPr="00434AB5">
              <w:rPr>
                <w:rFonts w:ascii="Arial Narrow" w:hAnsi="Arial Narrow"/>
                <w:sz w:val="22"/>
              </w:rPr>
              <w:t xml:space="preserve"> in </w:t>
            </w:r>
            <w:r w:rsidR="00A100DC" w:rsidRPr="00434AB5">
              <w:rPr>
                <w:rFonts w:ascii="Arial Narrow" w:hAnsi="Arial Narrow"/>
                <w:sz w:val="22"/>
              </w:rPr>
              <w:t>den</w:t>
            </w:r>
            <w:r w:rsidRPr="00434AB5">
              <w:rPr>
                <w:rFonts w:ascii="Arial Narrow" w:hAnsi="Arial Narrow"/>
                <w:sz w:val="22"/>
              </w:rPr>
              <w:t xml:space="preserve"> </w:t>
            </w:r>
            <w:r w:rsidR="00620855" w:rsidRPr="00434AB5">
              <w:rPr>
                <w:rFonts w:ascii="Arial Narrow" w:hAnsi="Arial Narrow"/>
                <w:sz w:val="22"/>
              </w:rPr>
              <w:t>entsprechenden</w:t>
            </w:r>
            <w:r w:rsidR="000D615D" w:rsidRPr="00434AB5">
              <w:rPr>
                <w:rFonts w:ascii="Arial Narrow" w:hAnsi="Arial Narrow"/>
                <w:sz w:val="22"/>
              </w:rPr>
              <w:t xml:space="preserve"> Fällen der </w:t>
            </w:r>
            <w:r w:rsidRPr="00434AB5">
              <w:rPr>
                <w:rFonts w:ascii="Arial Narrow" w:hAnsi="Arial Narrow"/>
                <w:sz w:val="22"/>
              </w:rPr>
              <w:t>betroffenen DRG</w:t>
            </w:r>
            <w:r w:rsidR="00620855" w:rsidRPr="00434AB5">
              <w:rPr>
                <w:rFonts w:ascii="Arial Narrow" w:hAnsi="Arial Narrow"/>
                <w:sz w:val="22"/>
              </w:rPr>
              <w:t>(s)</w:t>
            </w:r>
            <w:r w:rsidR="00434AB5" w:rsidRPr="00434AB5">
              <w:rPr>
                <w:rFonts w:ascii="Arial Narrow" w:hAnsi="Arial Narrow"/>
                <w:sz w:val="22"/>
              </w:rPr>
              <w:t>.</w:t>
            </w:r>
          </w:p>
        </w:tc>
      </w:tr>
    </w:tbl>
    <w:p w14:paraId="0A50A959" w14:textId="77777777" w:rsidR="008E6675" w:rsidRPr="00434AB5" w:rsidRDefault="008E6675" w:rsidP="005638EB">
      <w:pPr>
        <w:rPr>
          <w:rFonts w:ascii="Arial Narrow" w:hAnsi="Arial Narrow"/>
        </w:rPr>
      </w:pPr>
    </w:p>
    <w:sectPr w:rsidR="008E6675" w:rsidRPr="00434AB5"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C5D05" w14:textId="77777777" w:rsidR="00D92472" w:rsidRDefault="00D92472">
      <w:r>
        <w:separator/>
      </w:r>
    </w:p>
  </w:endnote>
  <w:endnote w:type="continuationSeparator" w:id="0">
    <w:p w14:paraId="6F269490" w14:textId="77777777" w:rsidR="00D92472" w:rsidRDefault="00D92472">
      <w:r>
        <w:continuationSeparator/>
      </w:r>
    </w:p>
  </w:endnote>
  <w:endnote w:type="continuationNotice" w:id="1">
    <w:p w14:paraId="42A72F30" w14:textId="77777777" w:rsidR="00D92472" w:rsidRDefault="00D92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3AF292DB"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r w:rsidR="00F77639">
      <w:rPr>
        <w:rFonts w:ascii="Arial Narrow" w:hAnsi="Arial Narrow"/>
        <w:sz w:val="20"/>
        <w:szCs w:val="20"/>
      </w:rPr>
      <w:t>Angiotensin-II-Acetat</w:t>
    </w:r>
  </w:p>
  <w:p w14:paraId="463B5D71" w14:textId="6B6DD8AF" w:rsidR="00F64982" w:rsidRPr="005F5DF9" w:rsidRDefault="005F5DF9" w:rsidP="00435583">
    <w:pPr>
      <w:pStyle w:val="Fuzeile"/>
      <w:rPr>
        <w:rFonts w:ascii="Arial Narrow" w:hAnsi="Arial Narrow"/>
        <w:sz w:val="20"/>
        <w:szCs w:val="20"/>
      </w:rPr>
    </w:pPr>
    <w:r w:rsidRPr="005F5DF9">
      <w:rPr>
        <w:rFonts w:ascii="Arial Narrow" w:hAnsi="Arial Narrow"/>
        <w:sz w:val="20"/>
        <w:szCs w:val="20"/>
      </w:rPr>
      <w:t xml:space="preserve">Seite </w:t>
    </w:r>
    <w:r w:rsidRPr="005F5DF9">
      <w:rPr>
        <w:rFonts w:ascii="Arial Narrow" w:hAnsi="Arial Narrow"/>
        <w:sz w:val="20"/>
        <w:szCs w:val="20"/>
      </w:rPr>
      <w:fldChar w:fldCharType="begin"/>
    </w:r>
    <w:r w:rsidRPr="005F5DF9">
      <w:rPr>
        <w:rFonts w:ascii="Arial Narrow" w:hAnsi="Arial Narrow"/>
        <w:sz w:val="20"/>
        <w:szCs w:val="20"/>
      </w:rPr>
      <w:instrText>PAGE  \* Arabic  \* MERGEFORMAT</w:instrText>
    </w:r>
    <w:r w:rsidRPr="005F5DF9">
      <w:rPr>
        <w:rFonts w:ascii="Arial Narrow" w:hAnsi="Arial Narrow"/>
        <w:sz w:val="20"/>
        <w:szCs w:val="20"/>
      </w:rPr>
      <w:fldChar w:fldCharType="separate"/>
    </w:r>
    <w:r w:rsidRPr="005F5DF9">
      <w:rPr>
        <w:rFonts w:ascii="Arial Narrow" w:hAnsi="Arial Narrow"/>
        <w:sz w:val="20"/>
        <w:szCs w:val="20"/>
      </w:rPr>
      <w:t>1</w:t>
    </w:r>
    <w:r w:rsidRPr="005F5DF9">
      <w:rPr>
        <w:rFonts w:ascii="Arial Narrow" w:hAnsi="Arial Narrow"/>
        <w:sz w:val="20"/>
        <w:szCs w:val="20"/>
      </w:rPr>
      <w:fldChar w:fldCharType="end"/>
    </w:r>
    <w:r w:rsidRPr="005F5DF9">
      <w:rPr>
        <w:rFonts w:ascii="Arial Narrow" w:hAnsi="Arial Narrow"/>
        <w:sz w:val="20"/>
        <w:szCs w:val="20"/>
      </w:rPr>
      <w:t xml:space="preserve"> von </w:t>
    </w:r>
    <w:r w:rsidRPr="005F5DF9">
      <w:rPr>
        <w:rFonts w:ascii="Arial Narrow" w:hAnsi="Arial Narrow"/>
        <w:sz w:val="20"/>
        <w:szCs w:val="20"/>
      </w:rPr>
      <w:fldChar w:fldCharType="begin"/>
    </w:r>
    <w:r w:rsidRPr="005F5DF9">
      <w:rPr>
        <w:rFonts w:ascii="Arial Narrow" w:hAnsi="Arial Narrow"/>
        <w:sz w:val="20"/>
        <w:szCs w:val="20"/>
      </w:rPr>
      <w:instrText>NUMPAGES  \* Arabic  \* MERGEFORMAT</w:instrText>
    </w:r>
    <w:r w:rsidRPr="005F5DF9">
      <w:rPr>
        <w:rFonts w:ascii="Arial Narrow" w:hAnsi="Arial Narrow"/>
        <w:sz w:val="20"/>
        <w:szCs w:val="20"/>
      </w:rPr>
      <w:fldChar w:fldCharType="separate"/>
    </w:r>
    <w:r w:rsidRPr="005F5DF9">
      <w:rPr>
        <w:rFonts w:ascii="Arial Narrow" w:hAnsi="Arial Narrow"/>
        <w:sz w:val="20"/>
        <w:szCs w:val="20"/>
      </w:rPr>
      <w:t>2</w:t>
    </w:r>
    <w:r w:rsidRPr="005F5DF9">
      <w:rPr>
        <w:rFonts w:ascii="Arial Narrow" w:hAnsi="Arial Narrow"/>
        <w:sz w:val="20"/>
        <w:szCs w:val="20"/>
      </w:rPr>
      <w:fldChar w:fldCharType="end"/>
    </w:r>
  </w:p>
  <w:p w14:paraId="6E7C81DA" w14:textId="23B06A73" w:rsidR="00F64982" w:rsidRPr="00435583" w:rsidRDefault="00F77639" w:rsidP="00435583">
    <w:pPr>
      <w:rPr>
        <w:sz w:val="20"/>
        <w:szCs w:val="20"/>
      </w:rPr>
    </w:pPr>
    <w:bookmarkStart w:id="1" w:name="_Hlk139466795"/>
    <w:bookmarkStart w:id="2" w:name="_Hlk139466796"/>
    <w:bookmarkStart w:id="3" w:name="_Hlk139616808"/>
    <w:bookmarkStart w:id="4" w:name="_Hlk139616809"/>
    <w:r>
      <w:rPr>
        <w:rFonts w:ascii="Arial Narrow" w:hAnsi="Arial Narrow"/>
        <w:sz w:val="20"/>
        <w:szCs w:val="20"/>
      </w:rPr>
      <w:t>Angiotensin-II-</w:t>
    </w:r>
    <w:proofErr w:type="spellStart"/>
    <w:r>
      <w:rPr>
        <w:rFonts w:ascii="Arial Narrow" w:hAnsi="Arial Narrow"/>
        <w:sz w:val="20"/>
        <w:szCs w:val="20"/>
      </w:rPr>
      <w:t>Acetat_</w:t>
    </w:r>
    <w:r w:rsidR="00620855" w:rsidRPr="00435583">
      <w:rPr>
        <w:rFonts w:ascii="Arial Narrow" w:hAnsi="Arial Narrow"/>
        <w:sz w:val="20"/>
        <w:szCs w:val="20"/>
      </w:rPr>
      <w:t>NUB</w:t>
    </w:r>
    <w:proofErr w:type="spellEnd"/>
    <w:r w:rsidR="00620855">
      <w:rPr>
        <w:rFonts w:ascii="Arial Narrow" w:hAnsi="Arial Narrow"/>
        <w:sz w:val="20"/>
        <w:szCs w:val="20"/>
      </w:rPr>
      <w:t>-</w:t>
    </w:r>
    <w:proofErr w:type="spellStart"/>
    <w:r w:rsidR="00620855" w:rsidRPr="00F77639">
      <w:rPr>
        <w:rFonts w:ascii="Arial Narrow" w:hAnsi="Arial Narrow"/>
        <w:sz w:val="20"/>
        <w:szCs w:val="20"/>
      </w:rPr>
      <w:t>Anfrage_</w:t>
    </w:r>
    <w:r w:rsidR="00F64982" w:rsidRPr="00F77639">
      <w:rPr>
        <w:rFonts w:ascii="Arial Narrow" w:hAnsi="Arial Narrow"/>
        <w:sz w:val="20"/>
        <w:szCs w:val="20"/>
      </w:rPr>
      <w:t>Stand</w:t>
    </w:r>
    <w:proofErr w:type="spellEnd"/>
    <w:r w:rsidR="00F64982" w:rsidRPr="00F77639">
      <w:rPr>
        <w:rFonts w:ascii="Arial Narrow" w:hAnsi="Arial Narrow"/>
        <w:sz w:val="20"/>
        <w:szCs w:val="20"/>
      </w:rPr>
      <w:t xml:space="preserve"> </w:t>
    </w:r>
    <w:bookmarkEnd w:id="1"/>
    <w:bookmarkEnd w:id="2"/>
    <w:bookmarkEnd w:id="3"/>
    <w:bookmarkEnd w:id="4"/>
    <w:r w:rsidRPr="00F77639">
      <w:rPr>
        <w:rFonts w:ascii="Arial Narrow" w:hAnsi="Arial Narrow"/>
        <w:sz w:val="20"/>
        <w:szCs w:val="20"/>
      </w:rPr>
      <w:t>2024-10-1</w:t>
    </w:r>
    <w:r w:rsidR="005818E2">
      <w:rPr>
        <w:rFonts w:ascii="Arial Narrow" w:hAnsi="Arial Narrow"/>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B921" w14:textId="77777777" w:rsidR="00D92472" w:rsidRDefault="00D92472">
      <w:r>
        <w:separator/>
      </w:r>
    </w:p>
  </w:footnote>
  <w:footnote w:type="continuationSeparator" w:id="0">
    <w:p w14:paraId="28D7F511" w14:textId="77777777" w:rsidR="00D92472" w:rsidRDefault="00D92472">
      <w:r>
        <w:continuationSeparator/>
      </w:r>
    </w:p>
  </w:footnote>
  <w:footnote w:type="continuationNotice" w:id="1">
    <w:p w14:paraId="7FD05475" w14:textId="77777777" w:rsidR="00D92472" w:rsidRDefault="00D92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7196860B" w:rsidR="00F64982" w:rsidRPr="004C4F82" w:rsidRDefault="00F64982" w:rsidP="00596F9A">
    <w:pPr>
      <w:pStyle w:val="Titel"/>
      <w:rPr>
        <w:sz w:val="48"/>
      </w:rPr>
    </w:pPr>
    <w:r w:rsidRPr="004C4F82">
      <w:rPr>
        <w:sz w:val="48"/>
      </w:rPr>
      <w:t>NUB Antrag 20</w:t>
    </w:r>
    <w:r>
      <w:rPr>
        <w:sz w:val="48"/>
      </w:rPr>
      <w:t>2</w:t>
    </w:r>
    <w:r w:rsidR="00F1327C">
      <w:rPr>
        <w:sz w:val="48"/>
      </w:rPr>
      <w:t>4</w:t>
    </w:r>
    <w:r w:rsidRPr="004C4F82">
      <w:rPr>
        <w:sz w:val="48"/>
      </w:rPr>
      <w:t>/20</w:t>
    </w:r>
    <w:r>
      <w:rPr>
        <w:sz w:val="48"/>
      </w:rPr>
      <w:t>2</w:t>
    </w:r>
    <w:r w:rsidR="00F1327C">
      <w:rPr>
        <w:sz w:val="48"/>
      </w:rPr>
      <w:t>5</w:t>
    </w:r>
    <w:r w:rsidRPr="004C4F82">
      <w:rPr>
        <w:sz w:val="48"/>
      </w:rPr>
      <w:t xml:space="preserve"> </w:t>
    </w:r>
  </w:p>
  <w:p w14:paraId="2D6FE634" w14:textId="7663AA4F" w:rsidR="00F64982" w:rsidRPr="004C4F82" w:rsidRDefault="00F77639" w:rsidP="00596F9A">
    <w:pPr>
      <w:pStyle w:val="Titel"/>
      <w:rPr>
        <w:sz w:val="48"/>
      </w:rPr>
    </w:pPr>
    <w:r>
      <w:rPr>
        <w:sz w:val="48"/>
      </w:rPr>
      <w:t>Angiotensin-II-Acetat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0"/>
  </w:num>
  <w:num w:numId="2" w16cid:durableId="226962088">
    <w:abstractNumId w:val="9"/>
  </w:num>
  <w:num w:numId="3" w16cid:durableId="1748114626">
    <w:abstractNumId w:val="5"/>
  </w:num>
  <w:num w:numId="4" w16cid:durableId="1724328217">
    <w:abstractNumId w:val="3"/>
  </w:num>
  <w:num w:numId="5" w16cid:durableId="928735535">
    <w:abstractNumId w:val="8"/>
  </w:num>
  <w:num w:numId="6" w16cid:durableId="1123380489">
    <w:abstractNumId w:val="2"/>
  </w:num>
  <w:num w:numId="7" w16cid:durableId="1080523472">
    <w:abstractNumId w:val="7"/>
  </w:num>
  <w:num w:numId="8" w16cid:durableId="1568803819">
    <w:abstractNumId w:val="4"/>
  </w:num>
  <w:num w:numId="9" w16cid:durableId="76565041">
    <w:abstractNumId w:val="1"/>
  </w:num>
  <w:num w:numId="10" w16cid:durableId="162518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0B08"/>
    <w:rsid w:val="00014F00"/>
    <w:rsid w:val="00015BCA"/>
    <w:rsid w:val="00024651"/>
    <w:rsid w:val="00024E80"/>
    <w:rsid w:val="0004094A"/>
    <w:rsid w:val="00044597"/>
    <w:rsid w:val="00065A38"/>
    <w:rsid w:val="00072A33"/>
    <w:rsid w:val="000953D2"/>
    <w:rsid w:val="000B5149"/>
    <w:rsid w:val="000C704A"/>
    <w:rsid w:val="000D615D"/>
    <w:rsid w:val="00104C97"/>
    <w:rsid w:val="001419B0"/>
    <w:rsid w:val="00156FE0"/>
    <w:rsid w:val="00174C6A"/>
    <w:rsid w:val="001774E7"/>
    <w:rsid w:val="001812EC"/>
    <w:rsid w:val="00181718"/>
    <w:rsid w:val="00196292"/>
    <w:rsid w:val="001A7AC7"/>
    <w:rsid w:val="001D380F"/>
    <w:rsid w:val="001F4753"/>
    <w:rsid w:val="002005AF"/>
    <w:rsid w:val="0021746C"/>
    <w:rsid w:val="002333FF"/>
    <w:rsid w:val="00234FB1"/>
    <w:rsid w:val="00256B7C"/>
    <w:rsid w:val="002674B1"/>
    <w:rsid w:val="0028432D"/>
    <w:rsid w:val="00285AE4"/>
    <w:rsid w:val="0028772B"/>
    <w:rsid w:val="002D7009"/>
    <w:rsid w:val="002D7403"/>
    <w:rsid w:val="002E5E26"/>
    <w:rsid w:val="00305016"/>
    <w:rsid w:val="003347F9"/>
    <w:rsid w:val="003479E5"/>
    <w:rsid w:val="0036178C"/>
    <w:rsid w:val="0036325A"/>
    <w:rsid w:val="003731D3"/>
    <w:rsid w:val="00394E09"/>
    <w:rsid w:val="003B2E05"/>
    <w:rsid w:val="003F2692"/>
    <w:rsid w:val="003F7920"/>
    <w:rsid w:val="0040610F"/>
    <w:rsid w:val="0041156E"/>
    <w:rsid w:val="00416EC3"/>
    <w:rsid w:val="00422874"/>
    <w:rsid w:val="00434456"/>
    <w:rsid w:val="00434AB5"/>
    <w:rsid w:val="00435583"/>
    <w:rsid w:val="00454847"/>
    <w:rsid w:val="004642E2"/>
    <w:rsid w:val="00467246"/>
    <w:rsid w:val="004736E4"/>
    <w:rsid w:val="00487546"/>
    <w:rsid w:val="00492AB4"/>
    <w:rsid w:val="00494C0F"/>
    <w:rsid w:val="004B3438"/>
    <w:rsid w:val="004B624B"/>
    <w:rsid w:val="004B6C59"/>
    <w:rsid w:val="004C4F82"/>
    <w:rsid w:val="004E1D02"/>
    <w:rsid w:val="00504FB4"/>
    <w:rsid w:val="0050526A"/>
    <w:rsid w:val="005125E9"/>
    <w:rsid w:val="00541B64"/>
    <w:rsid w:val="005524BC"/>
    <w:rsid w:val="005530A6"/>
    <w:rsid w:val="00556680"/>
    <w:rsid w:val="005638EB"/>
    <w:rsid w:val="0057537C"/>
    <w:rsid w:val="005818E2"/>
    <w:rsid w:val="005847B1"/>
    <w:rsid w:val="00596F9A"/>
    <w:rsid w:val="005B2815"/>
    <w:rsid w:val="005D1992"/>
    <w:rsid w:val="005F29C6"/>
    <w:rsid w:val="005F4D2E"/>
    <w:rsid w:val="005F5DF9"/>
    <w:rsid w:val="00612463"/>
    <w:rsid w:val="00620855"/>
    <w:rsid w:val="006354B6"/>
    <w:rsid w:val="006425CD"/>
    <w:rsid w:val="0064492D"/>
    <w:rsid w:val="006451B6"/>
    <w:rsid w:val="00645797"/>
    <w:rsid w:val="006549F4"/>
    <w:rsid w:val="00664E69"/>
    <w:rsid w:val="00681EC4"/>
    <w:rsid w:val="006C656D"/>
    <w:rsid w:val="006E4A8B"/>
    <w:rsid w:val="006F7F69"/>
    <w:rsid w:val="00723C66"/>
    <w:rsid w:val="0073561A"/>
    <w:rsid w:val="00750595"/>
    <w:rsid w:val="007510FC"/>
    <w:rsid w:val="007600D1"/>
    <w:rsid w:val="007646CA"/>
    <w:rsid w:val="00777AB6"/>
    <w:rsid w:val="0078272D"/>
    <w:rsid w:val="007A314E"/>
    <w:rsid w:val="007A6F09"/>
    <w:rsid w:val="007F0381"/>
    <w:rsid w:val="007F255B"/>
    <w:rsid w:val="00802EF7"/>
    <w:rsid w:val="0080511D"/>
    <w:rsid w:val="00805978"/>
    <w:rsid w:val="00807564"/>
    <w:rsid w:val="00816924"/>
    <w:rsid w:val="00843507"/>
    <w:rsid w:val="00850D44"/>
    <w:rsid w:val="00887940"/>
    <w:rsid w:val="0089002F"/>
    <w:rsid w:val="00890BC2"/>
    <w:rsid w:val="008B38C2"/>
    <w:rsid w:val="008B4504"/>
    <w:rsid w:val="008B7669"/>
    <w:rsid w:val="008C1686"/>
    <w:rsid w:val="008D12DD"/>
    <w:rsid w:val="008E6675"/>
    <w:rsid w:val="008F5140"/>
    <w:rsid w:val="00900E00"/>
    <w:rsid w:val="009013F7"/>
    <w:rsid w:val="00914229"/>
    <w:rsid w:val="00925542"/>
    <w:rsid w:val="009326DF"/>
    <w:rsid w:val="009545AF"/>
    <w:rsid w:val="00954E55"/>
    <w:rsid w:val="00983554"/>
    <w:rsid w:val="009910D7"/>
    <w:rsid w:val="009B1C7E"/>
    <w:rsid w:val="009C0B84"/>
    <w:rsid w:val="009C144E"/>
    <w:rsid w:val="009D262E"/>
    <w:rsid w:val="009E4420"/>
    <w:rsid w:val="009E60A3"/>
    <w:rsid w:val="00A00CCB"/>
    <w:rsid w:val="00A10029"/>
    <w:rsid w:val="00A100DC"/>
    <w:rsid w:val="00A2016B"/>
    <w:rsid w:val="00A21E9E"/>
    <w:rsid w:val="00A345A9"/>
    <w:rsid w:val="00A43812"/>
    <w:rsid w:val="00A454F3"/>
    <w:rsid w:val="00A530BE"/>
    <w:rsid w:val="00A93AAD"/>
    <w:rsid w:val="00AA6B4F"/>
    <w:rsid w:val="00AB10BF"/>
    <w:rsid w:val="00AE4C49"/>
    <w:rsid w:val="00B03A61"/>
    <w:rsid w:val="00B574E9"/>
    <w:rsid w:val="00B60F3D"/>
    <w:rsid w:val="00B6570D"/>
    <w:rsid w:val="00B773B8"/>
    <w:rsid w:val="00BA6044"/>
    <w:rsid w:val="00BB4A54"/>
    <w:rsid w:val="00BC3D19"/>
    <w:rsid w:val="00BC4042"/>
    <w:rsid w:val="00BE2511"/>
    <w:rsid w:val="00BE3979"/>
    <w:rsid w:val="00BF11AE"/>
    <w:rsid w:val="00C112A6"/>
    <w:rsid w:val="00C11458"/>
    <w:rsid w:val="00C21654"/>
    <w:rsid w:val="00C35BFE"/>
    <w:rsid w:val="00C40BD2"/>
    <w:rsid w:val="00C64058"/>
    <w:rsid w:val="00C676EE"/>
    <w:rsid w:val="00CB3CA3"/>
    <w:rsid w:val="00CB7E53"/>
    <w:rsid w:val="00CC7E5F"/>
    <w:rsid w:val="00CD2365"/>
    <w:rsid w:val="00CE2A00"/>
    <w:rsid w:val="00CE69F3"/>
    <w:rsid w:val="00CF56C3"/>
    <w:rsid w:val="00CF5ECC"/>
    <w:rsid w:val="00D129F3"/>
    <w:rsid w:val="00D14350"/>
    <w:rsid w:val="00D216BD"/>
    <w:rsid w:val="00D21A79"/>
    <w:rsid w:val="00D41422"/>
    <w:rsid w:val="00D62489"/>
    <w:rsid w:val="00D87B96"/>
    <w:rsid w:val="00D92472"/>
    <w:rsid w:val="00D9586E"/>
    <w:rsid w:val="00DB14F4"/>
    <w:rsid w:val="00DB4789"/>
    <w:rsid w:val="00DC6CBD"/>
    <w:rsid w:val="00DE0DAA"/>
    <w:rsid w:val="00DF01F8"/>
    <w:rsid w:val="00E24E3B"/>
    <w:rsid w:val="00E32462"/>
    <w:rsid w:val="00E53F75"/>
    <w:rsid w:val="00E630F6"/>
    <w:rsid w:val="00E86725"/>
    <w:rsid w:val="00E9243F"/>
    <w:rsid w:val="00E92C57"/>
    <w:rsid w:val="00EC0987"/>
    <w:rsid w:val="00EC1870"/>
    <w:rsid w:val="00ED280C"/>
    <w:rsid w:val="00ED4386"/>
    <w:rsid w:val="00ED79AA"/>
    <w:rsid w:val="00EE0D0B"/>
    <w:rsid w:val="00EE1581"/>
    <w:rsid w:val="00EE5875"/>
    <w:rsid w:val="00F000AA"/>
    <w:rsid w:val="00F1327C"/>
    <w:rsid w:val="00F233AA"/>
    <w:rsid w:val="00F64982"/>
    <w:rsid w:val="00F77639"/>
    <w:rsid w:val="00F91167"/>
    <w:rsid w:val="00FA6FC5"/>
    <w:rsid w:val="00FB46A5"/>
    <w:rsid w:val="00FE072A"/>
    <w:rsid w:val="00FF4695"/>
    <w:rsid w:val="00FF51E1"/>
    <w:rsid w:val="00FF6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F77639"/>
    <w:rPr>
      <w:color w:val="605E5C"/>
      <w:shd w:val="clear" w:color="auto" w:fill="E1DFDD"/>
    </w:rPr>
  </w:style>
  <w:style w:type="character" w:styleId="Kommentarzeichen">
    <w:name w:val="annotation reference"/>
    <w:basedOn w:val="Absatz-Standardschriftart"/>
    <w:uiPriority w:val="99"/>
    <w:semiHidden/>
    <w:unhideWhenUsed/>
    <w:rsid w:val="00C40BD2"/>
    <w:rPr>
      <w:sz w:val="16"/>
      <w:szCs w:val="16"/>
    </w:rPr>
  </w:style>
  <w:style w:type="paragraph" w:styleId="Kommentartext">
    <w:name w:val="annotation text"/>
    <w:basedOn w:val="Standard"/>
    <w:link w:val="KommentartextZchn"/>
    <w:uiPriority w:val="99"/>
    <w:unhideWhenUsed/>
    <w:rsid w:val="00C40BD2"/>
    <w:rPr>
      <w:sz w:val="20"/>
      <w:szCs w:val="20"/>
    </w:rPr>
  </w:style>
  <w:style w:type="character" w:customStyle="1" w:styleId="KommentartextZchn">
    <w:name w:val="Kommentartext Zchn"/>
    <w:basedOn w:val="Absatz-Standardschriftart"/>
    <w:link w:val="Kommentartext"/>
    <w:uiPriority w:val="99"/>
    <w:rsid w:val="00C40BD2"/>
    <w:rPr>
      <w:sz w:val="20"/>
      <w:szCs w:val="20"/>
    </w:rPr>
  </w:style>
  <w:style w:type="paragraph" w:styleId="Kommentarthema">
    <w:name w:val="annotation subject"/>
    <w:basedOn w:val="Kommentartext"/>
    <w:next w:val="Kommentartext"/>
    <w:link w:val="KommentarthemaZchn"/>
    <w:uiPriority w:val="99"/>
    <w:semiHidden/>
    <w:unhideWhenUsed/>
    <w:rsid w:val="00C40BD2"/>
    <w:rPr>
      <w:b/>
      <w:bCs/>
    </w:rPr>
  </w:style>
  <w:style w:type="character" w:customStyle="1" w:styleId="KommentarthemaZchn">
    <w:name w:val="Kommentarthema Zchn"/>
    <w:basedOn w:val="KommentartextZchn"/>
    <w:link w:val="Kommentarthema"/>
    <w:uiPriority w:val="99"/>
    <w:semiHidden/>
    <w:rsid w:val="00C40BD2"/>
    <w:rPr>
      <w:b/>
      <w:bCs/>
      <w:sz w:val="20"/>
      <w:szCs w:val="20"/>
    </w:rPr>
  </w:style>
  <w:style w:type="paragraph" w:customStyle="1" w:styleId="TextkrperDossier">
    <w:name w:val="#_Textkörper_Dossier"/>
    <w:basedOn w:val="Standard"/>
    <w:link w:val="TextkrperDossierZchn"/>
    <w:qFormat/>
    <w:rsid w:val="00E32462"/>
    <w:pPr>
      <w:spacing w:after="240" w:line="264" w:lineRule="auto"/>
      <w:jc w:val="both"/>
    </w:pPr>
    <w:rPr>
      <w:color w:val="000000"/>
      <w:lang w:eastAsia="en-US"/>
    </w:rPr>
  </w:style>
  <w:style w:type="character" w:customStyle="1" w:styleId="TextkrperDossierZchn">
    <w:name w:val="#_Textkörper_Dossier Zchn"/>
    <w:basedOn w:val="Absatz-Standardschriftart"/>
    <w:link w:val="TextkrperDossier"/>
    <w:rsid w:val="00E32462"/>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433566A19BEF4C94E872E4E534701B" ma:contentTypeVersion="4" ma:contentTypeDescription="Ein neues Dokument erstellen." ma:contentTypeScope="" ma:versionID="cc798faf5ff7b23e58dfe6f195f4488e">
  <xsd:schema xmlns:xsd="http://www.w3.org/2001/XMLSchema" xmlns:xs="http://www.w3.org/2001/XMLSchema" xmlns:p="http://schemas.microsoft.com/office/2006/metadata/properties" xmlns:ns2="d975ccf8-fc23-4a64-a51d-4cf3ed78e972" targetNamespace="http://schemas.microsoft.com/office/2006/metadata/properties" ma:root="true" ma:fieldsID="d74363b7d07ac4600b2371da39c343d8" ns2:_="">
    <xsd:import namespace="d975ccf8-fc23-4a64-a51d-4cf3ed78e9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5ccf8-fc23-4a64-a51d-4cf3ed78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BA494-B374-4D4D-934C-3F099D470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5ccf8-fc23-4a64-a51d-4cf3ed78e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736C3-E1C2-45AB-BAE5-A68ADFFCF9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075F0-4D1E-4FCF-8441-5B62A588B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8262</Characters>
  <Application>Microsoft Office Word</Application>
  <DocSecurity>0</DocSecurity>
  <Lines>152</Lines>
  <Paragraphs>67</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Johanna Röder</cp:lastModifiedBy>
  <cp:revision>31</cp:revision>
  <cp:lastPrinted>2012-10-09T15:17:00Z</cp:lastPrinted>
  <dcterms:created xsi:type="dcterms:W3CDTF">2024-10-11T16:17:00Z</dcterms:created>
  <dcterms:modified xsi:type="dcterms:W3CDTF">2024-10-14T13:09:00Z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873dbd0e942c5af679458d68ee5c20a32ce6891825810a2803bc5a54d6993b3f</vt:lpwstr>
  </property>
  <property fmtid="{D5CDD505-2E9C-101B-9397-08002B2CF9AE}" pid="3" name="ContentTypeId">
    <vt:lpwstr>0x01010045433566A19BEF4C94E872E4E534701B</vt:lpwstr>
  </property>
</Properties>
</file>