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378CF00D" w:rsidR="008E6675" w:rsidRPr="005638EB" w:rsidRDefault="008E6675" w:rsidP="005638EB">
            <w:pPr>
              <w:rPr>
                <w:rFonts w:ascii="Arial Narrow" w:hAnsi="Arial Narrow"/>
              </w:rPr>
            </w:pPr>
          </w:p>
        </w:tc>
      </w:tr>
    </w:tbl>
    <w:p w14:paraId="1B73E9CE" w14:textId="77777777" w:rsidR="008E6675" w:rsidRPr="005638EB" w:rsidRDefault="008E6675" w:rsidP="005638EB">
      <w:pPr>
        <w:rPr>
          <w:rFonts w:ascii="Arial Narrow" w:hAnsi="Arial Narrow"/>
        </w:rPr>
      </w:pPr>
    </w:p>
    <w:tbl>
      <w:tblPr>
        <w:tblStyle w:val="TableNormal1"/>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000B5149">
        <w:tc>
          <w:tcPr>
            <w:tcW w:w="9212" w:type="dxa"/>
          </w:tcPr>
          <w:p w14:paraId="2C182448" w14:textId="654E344E" w:rsidR="000B5149" w:rsidRPr="00394E09" w:rsidRDefault="00BF682B" w:rsidP="000B5149">
            <w:pPr>
              <w:rPr>
                <w:rFonts w:ascii="Arial Narrow" w:hAnsi="Arial Narrow"/>
                <w:sz w:val="22"/>
              </w:rPr>
            </w:pPr>
            <w:r w:rsidRPr="00BF682B">
              <w:rPr>
                <w:rFonts w:ascii="Arial Narrow" w:hAnsi="Arial Narrow"/>
                <w:color w:val="000000" w:themeColor="text1"/>
                <w:sz w:val="22"/>
              </w:rPr>
              <w:t>Volanesorsen</w:t>
            </w:r>
          </w:p>
        </w:tc>
      </w:tr>
    </w:tbl>
    <w:p w14:paraId="42022921" w14:textId="77777777" w:rsidR="008E6675" w:rsidRPr="005638EB" w:rsidRDefault="008E6675" w:rsidP="005638EB">
      <w:pPr>
        <w:rPr>
          <w:rFonts w:ascii="Arial Narrow" w:hAnsi="Arial Narrow"/>
          <w:b/>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03804348" w14:textId="49975486" w:rsidR="008E6675" w:rsidRPr="005638EB" w:rsidRDefault="00BF682B" w:rsidP="005638EB">
            <w:pPr>
              <w:rPr>
                <w:rFonts w:ascii="Arial Narrow" w:hAnsi="Arial Narrow"/>
              </w:rPr>
            </w:pPr>
            <w:r w:rsidRPr="00BF682B">
              <w:rPr>
                <w:rFonts w:ascii="Arial Narrow" w:hAnsi="Arial Narrow"/>
                <w:color w:val="000000" w:themeColor="text1"/>
                <w:sz w:val="22"/>
              </w:rPr>
              <w:t>Waylivra</w:t>
            </w:r>
            <w:r w:rsidR="0036325A" w:rsidRPr="00BF682B">
              <w:rPr>
                <w:rFonts w:ascii="Arial Narrow" w:hAnsi="Arial Narrow"/>
                <w:color w:val="000000" w:themeColor="text1"/>
                <w:sz w:val="22"/>
              </w:rPr>
              <w:t>®</w:t>
            </w:r>
          </w:p>
        </w:tc>
      </w:tr>
    </w:tbl>
    <w:p w14:paraId="5C4D6932" w14:textId="77777777" w:rsidR="004C4F82" w:rsidRDefault="004C4F82"/>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77A4F294" w:rsidR="004C4F82" w:rsidRPr="004C4F82" w:rsidRDefault="000140C0" w:rsidP="008B7669">
            <w:pPr>
              <w:rPr>
                <w:rFonts w:ascii="Arial Narrow" w:hAnsi="Arial Narrow"/>
                <w:color w:val="00B050"/>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436833FA"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4226DE">
              <w:rPr>
                <w:rFonts w:ascii="Arial Narrow" w:hAnsi="Arial Narrow"/>
                <w:b/>
                <w:sz w:val="22"/>
              </w:rPr>
              <w:t>6</w:t>
            </w:r>
            <w:r w:rsidR="00DC6CBD">
              <w:rPr>
                <w:rFonts w:ascii="Arial Narrow" w:hAnsi="Arial Narrow"/>
                <w:b/>
                <w:sz w:val="22"/>
              </w:rPr>
              <w:t xml:space="preserve"> eine Anfrage gemäß §6 Abs. 2 KHEntG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5F17534E" w:rsidR="000B5149" w:rsidRPr="000B5149" w:rsidRDefault="00ED79AA" w:rsidP="00DB14F4">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4F548D" w14:paraId="5696BA9D" w14:textId="77777777">
        <w:tc>
          <w:tcPr>
            <w:tcW w:w="9212" w:type="dxa"/>
          </w:tcPr>
          <w:p w14:paraId="2A843CDA" w14:textId="28BBCD1E" w:rsidR="00EF384D" w:rsidRPr="004F548D" w:rsidRDefault="00EF384D" w:rsidP="00BF682B">
            <w:pPr>
              <w:rPr>
                <w:rFonts w:ascii="Arial Narrow" w:hAnsi="Arial Narrow"/>
                <w:color w:val="000000" w:themeColor="text1"/>
                <w:sz w:val="22"/>
                <w:szCs w:val="22"/>
              </w:rPr>
            </w:pPr>
            <w:r>
              <w:rPr>
                <w:rFonts w:ascii="Arial Narrow" w:hAnsi="Arial Narrow"/>
                <w:color w:val="000000" w:themeColor="text1"/>
                <w:sz w:val="22"/>
                <w:szCs w:val="22"/>
              </w:rPr>
              <w:t>Wirkweise:</w:t>
            </w:r>
          </w:p>
          <w:p w14:paraId="57D75B5E" w14:textId="46F594DC" w:rsidR="00E2238C" w:rsidRDefault="00384168" w:rsidP="00BF682B">
            <w:pPr>
              <w:rPr>
                <w:rFonts w:ascii="Arial Narrow" w:hAnsi="Arial Narrow"/>
                <w:color w:val="000000" w:themeColor="text1"/>
                <w:sz w:val="22"/>
                <w:szCs w:val="22"/>
              </w:rPr>
            </w:pPr>
            <w:r w:rsidRPr="00384168">
              <w:rPr>
                <w:rFonts w:ascii="Arial Narrow" w:hAnsi="Arial Narrow"/>
                <w:color w:val="000000" w:themeColor="text1"/>
                <w:sz w:val="22"/>
                <w:szCs w:val="22"/>
              </w:rPr>
              <w:t>Volanesorsen ist ein Antisense-Oligonukleotid, das die Bildung von Apolipoprotein C-III hemmt. Das Protein ApoC-III ist als Regulator sowohl des Triglyceridstoffwechsels als auch der hepatischen Clearance von Chylomikronen und anderen triglyceridreichen Lipoproteinen bekannt. Die selektive Bindung von Volanesorsen an die ApoC-III-mRNA (Messenger-RNA) innerhalb der 3'-UTR (untranslated region) an Basenposition 489–508 führt zum Abbau der mRNA. Die Bindung verhindert die Translation des Proteins ApoC-III, beseitigt so einen Inhibitor der Triglycerid-Clearance und ermöglicht den Abbau über einen LPL-unabhängigen Weg.</w:t>
            </w:r>
          </w:p>
          <w:p w14:paraId="0D85241A" w14:textId="77777777" w:rsidR="00384168" w:rsidRDefault="00384168" w:rsidP="00BF682B">
            <w:pPr>
              <w:rPr>
                <w:rFonts w:ascii="Arial Narrow" w:hAnsi="Arial Narrow"/>
                <w:color w:val="000000" w:themeColor="text1"/>
                <w:sz w:val="22"/>
                <w:szCs w:val="22"/>
              </w:rPr>
            </w:pPr>
          </w:p>
          <w:p w14:paraId="2EBF4F72" w14:textId="1A5A1931" w:rsidR="00B53328" w:rsidRDefault="00B53328" w:rsidP="00BF682B">
            <w:pPr>
              <w:rPr>
                <w:rFonts w:ascii="Arial Narrow" w:hAnsi="Arial Narrow"/>
                <w:color w:val="000000" w:themeColor="text1"/>
                <w:sz w:val="22"/>
                <w:szCs w:val="22"/>
              </w:rPr>
            </w:pPr>
            <w:r>
              <w:rPr>
                <w:rFonts w:ascii="Arial Narrow" w:hAnsi="Arial Narrow"/>
                <w:color w:val="000000" w:themeColor="text1"/>
                <w:sz w:val="22"/>
                <w:szCs w:val="22"/>
              </w:rPr>
              <w:t xml:space="preserve">Evidenz: </w:t>
            </w:r>
          </w:p>
          <w:p w14:paraId="6072AA68" w14:textId="193A3855" w:rsidR="00BF682B" w:rsidRPr="004F548D" w:rsidRDefault="00F840FC" w:rsidP="00BF682B">
            <w:pPr>
              <w:rPr>
                <w:rFonts w:ascii="Arial Narrow" w:hAnsi="Arial Narrow"/>
                <w:color w:val="000000" w:themeColor="text1"/>
                <w:sz w:val="22"/>
                <w:szCs w:val="22"/>
              </w:rPr>
            </w:pPr>
            <w:r w:rsidRPr="00F840FC">
              <w:rPr>
                <w:rFonts w:ascii="Arial Narrow" w:hAnsi="Arial Narrow"/>
                <w:color w:val="000000" w:themeColor="text1"/>
                <w:sz w:val="22"/>
                <w:szCs w:val="22"/>
              </w:rPr>
              <w:t xml:space="preserve">Grundlage der Zulassung ist die randomisierte, doppelblinde, placebokontrollierte multizentrische Phase-III-Studie APPROACH bei Patienten mit Familiärem Chylomikronämie-Syndrom (FCS). Am primären Endpunkt (prozentuale Änderung der Nüchtern-Triglyceride von Baseline bis Monat 3) betrug der Behandlungseffekt gegenüber Placebo –94 % (95 %-KI –122; –67; p &lt; 0,0001), entsprechend </w:t>
            </w:r>
            <w:r w:rsidR="00215061">
              <w:rPr>
                <w:rFonts w:ascii="Arial Narrow" w:hAnsi="Arial Narrow"/>
                <w:color w:val="000000" w:themeColor="text1"/>
                <w:sz w:val="22"/>
                <w:szCs w:val="22"/>
              </w:rPr>
              <w:t>-</w:t>
            </w:r>
            <w:r w:rsidRPr="00F840FC">
              <w:rPr>
                <w:rFonts w:ascii="Arial Narrow" w:hAnsi="Arial Narrow"/>
                <w:color w:val="000000" w:themeColor="text1"/>
                <w:sz w:val="22"/>
                <w:szCs w:val="22"/>
              </w:rPr>
              <w:t xml:space="preserve">77 % (95 %-KI –97; –56) unter Volanesorsen versus +18 % (95 %-KI –4; +39) unter Placebo (LS-Mittelwerte, ANCOVA); die absolute Differenz lag bei –1.804 mg/dl (95 %-KI –2.306; –1.302). Eine Separation von Placebo zeigte sich ab Woche 4, der Maximaleffekt ab Woche 12, die Reduktion wurde über die gesamten 52 Wochen aufrechterhalten. Begleitend sanken ApoC-III um 84 % und ApoB-48 um 75 % (versus +6 % bzw. +16 % unter Placebo). In einer Post-hoc-Auswertung traten unter Volanesorsen 1 Pankreatitisereignis bei 1/33 Patienten gegenüber 4 Ereignissen bei 3/33 Patienten unter Placebo auf; in der Subgruppe mit rezidivierender Pankreatitis in der Vorgeschichte (≥ 2 Ereignisse in 5 Jahren) war die Reduktion signifikant (p = 0,0242). Langzeitdaten liefert die unverblindete Phase-III-Folgestudie CS7 (n = 68); für die aus APPROACH überführten Patienten betrug die Änderung der Nüchtern-Triglyceride gegenüber der Indexstudien-Baseline </w:t>
            </w:r>
            <w:r w:rsidR="00DF618A">
              <w:rPr>
                <w:rFonts w:ascii="Arial Narrow" w:hAnsi="Arial Narrow"/>
                <w:color w:val="000000" w:themeColor="text1"/>
                <w:sz w:val="22"/>
                <w:szCs w:val="22"/>
              </w:rPr>
              <w:t>-</w:t>
            </w:r>
            <w:r w:rsidRPr="00F840FC">
              <w:rPr>
                <w:rFonts w:ascii="Arial Narrow" w:hAnsi="Arial Narrow"/>
                <w:color w:val="000000" w:themeColor="text1"/>
                <w:sz w:val="22"/>
                <w:szCs w:val="22"/>
              </w:rPr>
              <w:t xml:space="preserve">49,2 % (Monat 3), </w:t>
            </w:r>
            <w:r w:rsidR="00A67EC1">
              <w:rPr>
                <w:rFonts w:ascii="Arial Narrow" w:hAnsi="Arial Narrow"/>
                <w:color w:val="000000" w:themeColor="text1"/>
                <w:sz w:val="22"/>
                <w:szCs w:val="22"/>
              </w:rPr>
              <w:t>-</w:t>
            </w:r>
            <w:r w:rsidRPr="00F840FC">
              <w:rPr>
                <w:rFonts w:ascii="Arial Narrow" w:hAnsi="Arial Narrow"/>
                <w:color w:val="000000" w:themeColor="text1"/>
                <w:sz w:val="22"/>
                <w:szCs w:val="22"/>
              </w:rPr>
              <w:t xml:space="preserve">54,8 % (Monat 6), </w:t>
            </w:r>
            <w:r w:rsidR="00A67EC1">
              <w:rPr>
                <w:rFonts w:ascii="Arial Narrow" w:hAnsi="Arial Narrow"/>
                <w:color w:val="000000" w:themeColor="text1"/>
                <w:sz w:val="22"/>
                <w:szCs w:val="22"/>
              </w:rPr>
              <w:t>-</w:t>
            </w:r>
            <w:r w:rsidRPr="00F840FC">
              <w:rPr>
                <w:rFonts w:ascii="Arial Narrow" w:hAnsi="Arial Narrow"/>
                <w:color w:val="000000" w:themeColor="text1"/>
                <w:sz w:val="22"/>
                <w:szCs w:val="22"/>
              </w:rPr>
              <w:t xml:space="preserve">35,1 % (Monat 12) und </w:t>
            </w:r>
            <w:r w:rsidR="00A67EC1">
              <w:rPr>
                <w:rFonts w:ascii="Arial Narrow" w:hAnsi="Arial Narrow"/>
                <w:color w:val="000000" w:themeColor="text1"/>
                <w:sz w:val="22"/>
                <w:szCs w:val="22"/>
              </w:rPr>
              <w:t>-</w:t>
            </w:r>
            <w:r w:rsidRPr="00F840FC">
              <w:rPr>
                <w:rFonts w:ascii="Arial Narrow" w:hAnsi="Arial Narrow"/>
                <w:color w:val="000000" w:themeColor="text1"/>
                <w:sz w:val="22"/>
                <w:szCs w:val="22"/>
              </w:rPr>
              <w:t xml:space="preserve">50,2 % (Monat 24). </w:t>
            </w:r>
          </w:p>
          <w:p w14:paraId="5A5D3077" w14:textId="1B0050D4" w:rsidR="00A67EC1" w:rsidRPr="004F548D" w:rsidRDefault="003F188D" w:rsidP="00BF682B">
            <w:pPr>
              <w:rPr>
                <w:rFonts w:ascii="Arial Narrow" w:hAnsi="Arial Narrow"/>
                <w:color w:val="000000" w:themeColor="text1"/>
                <w:sz w:val="22"/>
                <w:szCs w:val="22"/>
              </w:rPr>
            </w:pPr>
            <w:r w:rsidRPr="009A2224">
              <w:rPr>
                <w:rFonts w:ascii="Arial Narrow" w:hAnsi="Arial Narrow"/>
                <w:color w:val="000000" w:themeColor="text1"/>
                <w:sz w:val="22"/>
                <w:szCs w:val="22"/>
              </w:rPr>
              <w:t>Quelle: Fachinformation.</w:t>
            </w:r>
            <w:r w:rsidRPr="003F188D">
              <w:rPr>
                <w:rFonts w:ascii="Arial Narrow" w:hAnsi="Arial Narrow"/>
                <w:color w:val="000000" w:themeColor="text1"/>
                <w:sz w:val="22"/>
                <w:szCs w:val="22"/>
              </w:rPr>
              <w:t xml:space="preserve"> Zugriff 11.08.2026 </w:t>
            </w:r>
          </w:p>
          <w:p w14:paraId="4FA692F5" w14:textId="77777777" w:rsidR="00C655A0" w:rsidRDefault="00C655A0" w:rsidP="00BF682B">
            <w:pPr>
              <w:rPr>
                <w:rFonts w:ascii="Arial Narrow" w:hAnsi="Arial Narrow"/>
                <w:color w:val="000000" w:themeColor="text1"/>
                <w:sz w:val="22"/>
                <w:szCs w:val="22"/>
                <w:lang w:val="de-CH"/>
              </w:rPr>
            </w:pPr>
          </w:p>
          <w:p w14:paraId="4AAA45AD" w14:textId="77777777" w:rsidR="00BF682B" w:rsidRPr="004F548D" w:rsidRDefault="00BF682B" w:rsidP="00BF682B">
            <w:pPr>
              <w:rPr>
                <w:rFonts w:ascii="Arial Narrow" w:hAnsi="Arial Narrow"/>
                <w:color w:val="000000" w:themeColor="text1"/>
                <w:sz w:val="22"/>
                <w:szCs w:val="22"/>
                <w:lang w:val="de-CH"/>
              </w:rPr>
            </w:pPr>
            <w:r w:rsidRPr="004F548D">
              <w:rPr>
                <w:rFonts w:ascii="Arial Narrow" w:hAnsi="Arial Narrow"/>
                <w:color w:val="000000" w:themeColor="text1"/>
                <w:sz w:val="22"/>
                <w:szCs w:val="22"/>
                <w:lang w:val="de-CH"/>
              </w:rPr>
              <w:t>Dosierung:</w:t>
            </w:r>
          </w:p>
          <w:p w14:paraId="2584FE80" w14:textId="77777777" w:rsidR="0024654E" w:rsidRPr="004F548D" w:rsidRDefault="0024654E" w:rsidP="0024654E">
            <w:pPr>
              <w:rPr>
                <w:rFonts w:ascii="Arial Narrow" w:hAnsi="Arial Narrow"/>
                <w:color w:val="000000" w:themeColor="text1"/>
                <w:sz w:val="22"/>
                <w:szCs w:val="22"/>
              </w:rPr>
            </w:pPr>
            <w:r w:rsidRPr="004F548D">
              <w:rPr>
                <w:rFonts w:ascii="Arial Narrow" w:hAnsi="Arial Narrow"/>
                <w:color w:val="000000" w:themeColor="text1"/>
                <w:sz w:val="22"/>
                <w:szCs w:val="22"/>
              </w:rPr>
              <w:t>Die Behandlung muss von einem Arzt eingeleitet und überwacht werden, der Erfahrung mit der Behandlung von Patienten mit FCS hat. Vor Therapiebeginn müssen sekundäre Ursachen von Hypertriglyzeridämie (z.B. nicht kontrollierter Diabetes, Hypothyreose) ausgeschlossen oder angemessen behandelt werden.</w:t>
            </w:r>
          </w:p>
          <w:p w14:paraId="7B70FE14" w14:textId="77777777" w:rsidR="00270094" w:rsidRDefault="00BF682B" w:rsidP="00BF682B">
            <w:pPr>
              <w:rPr>
                <w:rFonts w:ascii="Arial Narrow" w:hAnsi="Arial Narrow"/>
                <w:color w:val="000000" w:themeColor="text1"/>
                <w:sz w:val="22"/>
                <w:szCs w:val="22"/>
                <w:lang w:val="de-CH"/>
              </w:rPr>
            </w:pPr>
            <w:r w:rsidRPr="004F548D">
              <w:rPr>
                <w:rFonts w:ascii="Arial Narrow" w:hAnsi="Arial Narrow"/>
                <w:color w:val="000000" w:themeColor="text1"/>
                <w:sz w:val="22"/>
                <w:szCs w:val="22"/>
                <w:lang w:val="de-CH"/>
              </w:rPr>
              <w:lastRenderedPageBreak/>
              <w:t xml:space="preserve">Die empfohlene Anfangsdosis beträgt 285 mg in 1,5 ml Injektionslösung, die über 3 Monate einmal wöchentlich subkutan verabreicht wird. Nach 3 Monaten ist die Dosisfrequenz auf 285 mg alle 2 Wochen zu reduzieren. Bei Patienten mit einer Abnahme der Serumtriglyceride &lt; 25 % oder wenn nach 3 Monaten Behandlung mit Volanesorsen 285 mg pro Woche keine Serumtriglyceridwerte unter 22,6 mmol/l erreicht werden, muss die Behandlung jedoch abgesetzt werden. </w:t>
            </w:r>
          </w:p>
          <w:p w14:paraId="0AF79188" w14:textId="4200961F" w:rsidR="00BF682B" w:rsidRPr="004F548D" w:rsidRDefault="00BF682B" w:rsidP="00BF682B">
            <w:pPr>
              <w:rPr>
                <w:rFonts w:ascii="Arial Narrow" w:hAnsi="Arial Narrow"/>
                <w:color w:val="000000" w:themeColor="text1"/>
                <w:sz w:val="22"/>
                <w:szCs w:val="22"/>
                <w:lang w:val="de-CH"/>
              </w:rPr>
            </w:pPr>
            <w:r w:rsidRPr="0057269B" w:rsidDel="0057269B">
              <w:rPr>
                <w:rFonts w:ascii="Arial Narrow" w:hAnsi="Arial Narrow"/>
                <w:color w:val="000000" w:themeColor="text1"/>
                <w:sz w:val="22"/>
                <w:szCs w:val="22"/>
              </w:rPr>
              <w:t>Nach 6 Monaten Behandlung mit Volanesorsen sollte eine Erhöhung der Dosisfrequenz auf 285 mg pro Woche in Betracht gezogen werden, wenn laut betreuendem erfahrene</w:t>
            </w:r>
            <w:r w:rsidR="000A7FFD">
              <w:rPr>
                <w:rFonts w:ascii="Arial Narrow" w:hAnsi="Arial Narrow"/>
                <w:color w:val="000000" w:themeColor="text1"/>
                <w:sz w:val="22"/>
                <w:szCs w:val="22"/>
              </w:rPr>
              <w:t>m</w:t>
            </w:r>
            <w:r w:rsidRPr="0057269B" w:rsidDel="0057269B">
              <w:rPr>
                <w:rFonts w:ascii="Arial Narrow" w:hAnsi="Arial Narrow"/>
                <w:color w:val="000000" w:themeColor="text1"/>
                <w:sz w:val="22"/>
                <w:szCs w:val="22"/>
              </w:rPr>
              <w:t xml:space="preserve"> Facharzt das Ansprechen der Triglyceridabnahme im Serum als unzureichend bewertet wurde und unter der Bedingung, dass die</w:t>
            </w:r>
            <w:r w:rsidRPr="004F548D" w:rsidDel="0057269B">
              <w:rPr>
                <w:rFonts w:ascii="Arial Narrow" w:hAnsi="Arial Narrow"/>
                <w:color w:val="000000" w:themeColor="text1"/>
                <w:sz w:val="22"/>
                <w:szCs w:val="22"/>
                <w:lang w:val="de-CH"/>
              </w:rPr>
              <w:t xml:space="preserve"> </w:t>
            </w:r>
            <w:r w:rsidRPr="00BF2028" w:rsidDel="0057269B">
              <w:rPr>
                <w:rFonts w:ascii="Arial Narrow" w:hAnsi="Arial Narrow"/>
                <w:color w:val="000000" w:themeColor="text1"/>
                <w:sz w:val="22"/>
                <w:szCs w:val="22"/>
              </w:rPr>
              <w:t xml:space="preserve">Thrombozytenzahlen im Normalbereich </w:t>
            </w:r>
            <w:r w:rsidR="00BF2028" w:rsidRPr="00BF2028">
              <w:rPr>
                <w:rFonts w:ascii="Arial Narrow" w:hAnsi="Arial Narrow"/>
                <w:color w:val="000000" w:themeColor="text1"/>
                <w:sz w:val="22"/>
                <w:szCs w:val="22"/>
              </w:rPr>
              <w:t>liegen. Wenn die höhere Dosis von 285 mg einmal wöchentlich nach 9 Monaten keine signifikante zusätzliche Triglyceridabnahme bewirkt, sollte die Dosis der Patienten wieder auf 285 mg alle 2 Wochen herabgesetzt werden. Die Patienten sollen angewiesen werden, die Injektionen in dem vom Arzt festgelegten Zeitabstand stets am gleichen Wochentag vorzunehmen. Falls eine Dosis versäumt und dies innerhalb von 48 Stunden bemerkt wird, soll der Patient die versäumte Injektion so schnell wie möglich nachholen. Falls er sein Versäumnis nicht innerhalb von 48 Stunden bemerkt, ist die versäumte Dosis auszulassen und die nächste Injektion zum planmäßigen Zeitpunkt vorzunehmen</w:t>
            </w:r>
            <w:r w:rsidRPr="004F548D">
              <w:rPr>
                <w:rFonts w:ascii="Arial Narrow" w:hAnsi="Arial Narrow"/>
                <w:color w:val="000000" w:themeColor="text1"/>
                <w:sz w:val="22"/>
                <w:szCs w:val="22"/>
                <w:lang w:val="de-CH"/>
              </w:rPr>
              <w:t xml:space="preserve">. </w:t>
            </w:r>
          </w:p>
        </w:tc>
      </w:tr>
    </w:tbl>
    <w:p w14:paraId="6F81F951"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tc>
          <w:tcPr>
            <w:tcW w:w="9212" w:type="dxa"/>
          </w:tcPr>
          <w:p w14:paraId="276EB151" w14:textId="6AEC5FEF" w:rsidR="00CC7E5F" w:rsidRPr="006354B6" w:rsidRDefault="008E6675" w:rsidP="00BF682B">
            <w:pPr>
              <w:rPr>
                <w:rFonts w:ascii="Arial Narrow" w:hAnsi="Arial Narrow"/>
                <w:sz w:val="22"/>
              </w:rPr>
            </w:pPr>
            <w:r w:rsidRPr="00435583">
              <w:rPr>
                <w:rFonts w:ascii="Arial Narrow" w:hAnsi="Arial Narrow"/>
                <w:sz w:val="22"/>
              </w:rPr>
              <w:t>6-00</w:t>
            </w:r>
            <w:r w:rsidR="00BF682B">
              <w:rPr>
                <w:rFonts w:ascii="Arial Narrow" w:hAnsi="Arial Narrow"/>
                <w:sz w:val="22"/>
              </w:rPr>
              <w:t>c.m</w:t>
            </w:r>
          </w:p>
        </w:tc>
      </w:tr>
    </w:tbl>
    <w:p w14:paraId="63A2C327" w14:textId="77777777" w:rsidR="00DC6CBD" w:rsidRPr="006354B6" w:rsidRDefault="00DC6CBD" w:rsidP="00EE0D0B">
      <w:pPr>
        <w:jc w:val="cente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5638EB" w14:paraId="1C363EAC" w14:textId="77777777" w:rsidTr="0036178C">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36178C">
        <w:tc>
          <w:tcPr>
            <w:tcW w:w="9212" w:type="dxa"/>
          </w:tcPr>
          <w:p w14:paraId="48201DB1" w14:textId="06F9F1FE" w:rsidR="004C4F82" w:rsidRPr="00435583" w:rsidRDefault="004C4F82" w:rsidP="00435583">
            <w:pPr>
              <w:rPr>
                <w:rFonts w:ascii="Arial Narrow" w:hAnsi="Arial Narrow"/>
                <w:sz w:val="22"/>
                <w:szCs w:val="22"/>
              </w:rPr>
            </w:pPr>
          </w:p>
        </w:tc>
      </w:tr>
    </w:tbl>
    <w:p w14:paraId="497C648B" w14:textId="77777777" w:rsidR="004C4F82" w:rsidRPr="005638EB" w:rsidRDefault="004C4F82"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tc>
          <w:tcPr>
            <w:tcW w:w="9212" w:type="dxa"/>
          </w:tcPr>
          <w:p w14:paraId="30560B8E" w14:textId="22256EC8" w:rsidR="00BF682B" w:rsidRPr="00BF682B" w:rsidRDefault="00BF682B" w:rsidP="00BF682B">
            <w:pPr>
              <w:rPr>
                <w:rFonts w:ascii="Arial Narrow" w:hAnsi="Arial Narrow"/>
                <w:color w:val="000000" w:themeColor="text1"/>
                <w:sz w:val="22"/>
                <w:szCs w:val="22"/>
              </w:rPr>
            </w:pPr>
            <w:r w:rsidRPr="00BF682B">
              <w:rPr>
                <w:rFonts w:ascii="Arial Narrow" w:hAnsi="Arial Narrow"/>
                <w:color w:val="000000" w:themeColor="text1"/>
                <w:sz w:val="22"/>
                <w:szCs w:val="22"/>
              </w:rPr>
              <w:t xml:space="preserve">Volanesorsen ist angezeigt für die unterstützende Behandlung neben einer Diät bei erwachsenen Patienten mit genetisch bestätigter familiäres Chylomikronämie Syndrom (FCS) und einem hohen Risiko für Pankreatitis, bei denen das Ansprechen auf eine Diät und eine triglyceridsenkende Therapie unzureichend war. </w:t>
            </w:r>
          </w:p>
          <w:p w14:paraId="606B75B1" w14:textId="70060FCA" w:rsidR="008E6675" w:rsidRPr="007F255B" w:rsidRDefault="00BF682B" w:rsidP="00BF682B">
            <w:pPr>
              <w:rPr>
                <w:rFonts w:ascii="Arial Narrow" w:hAnsi="Arial Narrow"/>
                <w:sz w:val="22"/>
                <w:szCs w:val="22"/>
              </w:rPr>
            </w:pPr>
            <w:r w:rsidRPr="00BF682B">
              <w:rPr>
                <w:rFonts w:ascii="Arial Narrow" w:hAnsi="Arial Narrow"/>
                <w:color w:val="000000" w:themeColor="text1"/>
                <w:sz w:val="22"/>
                <w:szCs w:val="22"/>
              </w:rPr>
              <w:t>ICD 10 Kodierung: E78.3</w:t>
            </w:r>
          </w:p>
        </w:tc>
      </w:tr>
    </w:tbl>
    <w:p w14:paraId="2A567A9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tc>
          <w:tcPr>
            <w:tcW w:w="9212" w:type="dxa"/>
          </w:tcPr>
          <w:p w14:paraId="3EC3722F" w14:textId="5ED94190" w:rsidR="00853337" w:rsidRPr="000605E2" w:rsidRDefault="00BA4CBA" w:rsidP="008C1686">
            <w:pPr>
              <w:rPr>
                <w:rFonts w:ascii="Arial Narrow" w:hAnsi="Arial Narrow"/>
                <w:bCs/>
                <w:color w:val="00B050"/>
                <w:sz w:val="22"/>
              </w:rPr>
            </w:pPr>
            <w:r>
              <w:rPr>
                <w:rFonts w:ascii="Arial Narrow" w:hAnsi="Arial Narrow"/>
                <w:bCs/>
                <w:color w:val="000000" w:themeColor="text1"/>
                <w:sz w:val="22"/>
              </w:rPr>
              <w:t xml:space="preserve">Volanesorsen </w:t>
            </w:r>
            <w:r w:rsidR="00715253">
              <w:rPr>
                <w:rFonts w:ascii="Arial Narrow" w:hAnsi="Arial Narrow"/>
                <w:bCs/>
                <w:color w:val="000000" w:themeColor="text1"/>
                <w:sz w:val="22"/>
              </w:rPr>
              <w:t xml:space="preserve">ergänzt die </w:t>
            </w:r>
            <w:r w:rsidR="00C41589">
              <w:rPr>
                <w:rFonts w:ascii="Arial Narrow" w:hAnsi="Arial Narrow"/>
                <w:bCs/>
                <w:color w:val="000000" w:themeColor="text1"/>
                <w:sz w:val="22"/>
              </w:rPr>
              <w:t>vorhandenen Therapieoptionen bei</w:t>
            </w:r>
            <w:r>
              <w:rPr>
                <w:rFonts w:ascii="Arial Narrow" w:hAnsi="Arial Narrow"/>
                <w:bCs/>
                <w:color w:val="000000" w:themeColor="text1"/>
                <w:sz w:val="22"/>
              </w:rPr>
              <w:t xml:space="preserve"> </w:t>
            </w:r>
            <w:r w:rsidR="009018F0">
              <w:rPr>
                <w:rFonts w:ascii="Arial Narrow" w:hAnsi="Arial Narrow"/>
                <w:bCs/>
                <w:color w:val="000000" w:themeColor="text1"/>
                <w:sz w:val="22"/>
              </w:rPr>
              <w:t>genetisch bestätigter familiärer Chylomikro</w:t>
            </w:r>
            <w:r w:rsidR="00D93CD5">
              <w:rPr>
                <w:rFonts w:ascii="Arial Narrow" w:hAnsi="Arial Narrow"/>
                <w:bCs/>
                <w:color w:val="000000" w:themeColor="text1"/>
                <w:sz w:val="22"/>
              </w:rPr>
              <w:t>nämie (FCS)</w:t>
            </w:r>
            <w:r w:rsidR="00015CD7">
              <w:rPr>
                <w:rFonts w:ascii="Arial Narrow" w:hAnsi="Arial Narrow"/>
                <w:bCs/>
                <w:color w:val="000000" w:themeColor="text1"/>
                <w:sz w:val="22"/>
              </w:rPr>
              <w:t xml:space="preserve">, wie Olezarsen (NUB Status 1). </w:t>
            </w:r>
          </w:p>
        </w:tc>
      </w:tr>
    </w:tbl>
    <w:p w14:paraId="073C0909"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tc>
          <w:tcPr>
            <w:tcW w:w="9212" w:type="dxa"/>
          </w:tcPr>
          <w:p w14:paraId="6B1FDB47" w14:textId="6D039730" w:rsidR="00F84399" w:rsidRPr="00CF3C1A" w:rsidRDefault="00636B13" w:rsidP="00BF682B">
            <w:pPr>
              <w:rPr>
                <w:rFonts w:ascii="Arial Narrow" w:hAnsi="Arial Narrow"/>
                <w:color w:val="000000" w:themeColor="text1"/>
                <w:sz w:val="22"/>
                <w:szCs w:val="22"/>
              </w:rPr>
            </w:pPr>
            <w:r w:rsidRPr="0091287F">
              <w:rPr>
                <w:rFonts w:ascii="Arial Narrow" w:hAnsi="Arial Narrow"/>
                <w:color w:val="000000" w:themeColor="text1"/>
                <w:sz w:val="22"/>
                <w:szCs w:val="22"/>
              </w:rPr>
              <w:t>In den Informationen nach §6 Abs. 2 KHEntgG für 2026 hat V</w:t>
            </w:r>
            <w:r w:rsidR="00EF0543" w:rsidRPr="0091287F">
              <w:rPr>
                <w:rFonts w:ascii="Arial Narrow" w:hAnsi="Arial Narrow"/>
                <w:color w:val="000000" w:themeColor="text1"/>
                <w:sz w:val="22"/>
                <w:szCs w:val="22"/>
              </w:rPr>
              <w:t xml:space="preserve">olanesorsen </w:t>
            </w:r>
            <w:r w:rsidRPr="0091287F">
              <w:rPr>
                <w:rFonts w:ascii="Arial Narrow" w:hAnsi="Arial Narrow"/>
                <w:color w:val="000000" w:themeColor="text1"/>
                <w:sz w:val="22"/>
                <w:szCs w:val="22"/>
              </w:rPr>
              <w:t xml:space="preserve">den Status </w:t>
            </w:r>
            <w:r w:rsidR="00EF0543" w:rsidRPr="0091287F">
              <w:rPr>
                <w:rFonts w:ascii="Arial Narrow" w:hAnsi="Arial Narrow"/>
                <w:color w:val="000000" w:themeColor="text1"/>
                <w:sz w:val="22"/>
                <w:szCs w:val="22"/>
              </w:rPr>
              <w:t>1</w:t>
            </w:r>
            <w:r w:rsidRPr="0091287F">
              <w:rPr>
                <w:rFonts w:ascii="Arial Narrow" w:hAnsi="Arial Narrow"/>
                <w:color w:val="000000" w:themeColor="text1"/>
                <w:sz w:val="22"/>
                <w:szCs w:val="22"/>
              </w:rPr>
              <w:t>.</w:t>
            </w:r>
          </w:p>
        </w:tc>
      </w:tr>
    </w:tbl>
    <w:p w14:paraId="75E7896B"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2020DF37"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tc>
          <w:tcPr>
            <w:tcW w:w="9212" w:type="dxa"/>
          </w:tcPr>
          <w:p w14:paraId="256E27C8" w14:textId="060D4E88" w:rsidR="00D14350" w:rsidRPr="00422874" w:rsidRDefault="00BF682B" w:rsidP="00C112A6">
            <w:pPr>
              <w:rPr>
                <w:rFonts w:ascii="Arial Narrow" w:hAnsi="Arial Narrow"/>
                <w:sz w:val="22"/>
              </w:rPr>
            </w:pPr>
            <w:r w:rsidRPr="00BF682B">
              <w:rPr>
                <w:rFonts w:ascii="Arial Narrow" w:hAnsi="Arial Narrow"/>
                <w:color w:val="000000" w:themeColor="text1"/>
                <w:sz w:val="22"/>
              </w:rPr>
              <w:t>15.8.2019</w:t>
            </w:r>
          </w:p>
        </w:tc>
      </w:tr>
    </w:tbl>
    <w:p w14:paraId="233BCD2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tc>
          <w:tcPr>
            <w:tcW w:w="9212" w:type="dxa"/>
          </w:tcPr>
          <w:p w14:paraId="7BB60EDC" w14:textId="7754BBEC" w:rsidR="00044597" w:rsidRPr="00C112A6" w:rsidRDefault="0071062E" w:rsidP="00C112A6">
            <w:pPr>
              <w:rPr>
                <w:rFonts w:ascii="Arial Narrow" w:hAnsi="Arial Narrow"/>
                <w:color w:val="00B050"/>
                <w:sz w:val="22"/>
              </w:rPr>
            </w:pPr>
            <w:r>
              <w:rPr>
                <w:rFonts w:ascii="Arial Narrow" w:hAnsi="Arial Narrow"/>
                <w:color w:val="000000" w:themeColor="text1"/>
                <w:sz w:val="22"/>
              </w:rPr>
              <w:t>0</w:t>
            </w:r>
            <w:r w:rsidR="004904F5">
              <w:rPr>
                <w:rFonts w:ascii="Arial Narrow" w:hAnsi="Arial Narrow"/>
                <w:color w:val="000000" w:themeColor="text1"/>
                <w:sz w:val="22"/>
              </w:rPr>
              <w:t>3</w:t>
            </w:r>
            <w:r w:rsidR="00BF682B" w:rsidRPr="00BF682B">
              <w:rPr>
                <w:rFonts w:ascii="Arial Narrow" w:hAnsi="Arial Narrow"/>
                <w:color w:val="000000" w:themeColor="text1"/>
                <w:sz w:val="22"/>
              </w:rPr>
              <w:t>.</w:t>
            </w:r>
            <w:r>
              <w:rPr>
                <w:rFonts w:ascii="Arial Narrow" w:hAnsi="Arial Narrow"/>
                <w:color w:val="000000" w:themeColor="text1"/>
                <w:sz w:val="22"/>
              </w:rPr>
              <w:t>0</w:t>
            </w:r>
            <w:r w:rsidR="00BF682B" w:rsidRPr="00BF682B">
              <w:rPr>
                <w:rFonts w:ascii="Arial Narrow" w:hAnsi="Arial Narrow"/>
                <w:color w:val="000000" w:themeColor="text1"/>
                <w:sz w:val="22"/>
              </w:rPr>
              <w:t>5.2019</w:t>
            </w:r>
          </w:p>
        </w:tc>
      </w:tr>
    </w:tbl>
    <w:p w14:paraId="479CCD3D"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21DD9094" w14:textId="243C3AB7" w:rsidR="00C112A6" w:rsidRPr="005638EB" w:rsidRDefault="002C5D4D" w:rsidP="00C112A6">
            <w:pPr>
              <w:rPr>
                <w:rFonts w:ascii="Arial Narrow" w:hAnsi="Arial Narrow"/>
              </w:rPr>
            </w:pPr>
            <w:r>
              <w:rPr>
                <w:rFonts w:ascii="Arial Narrow" w:hAnsi="Arial Narrow"/>
                <w:sz w:val="22"/>
              </w:rPr>
              <w:lastRenderedPageBreak/>
              <w:t xml:space="preserve">Volanesorsen </w:t>
            </w:r>
            <w:r w:rsidR="002F5793" w:rsidRPr="002F5793">
              <w:rPr>
                <w:rFonts w:ascii="Arial Narrow" w:hAnsi="Arial Narrow"/>
                <w:sz w:val="22"/>
              </w:rPr>
              <w:t xml:space="preserve">wird in ca. </w:t>
            </w:r>
            <w:r w:rsidR="002F5793">
              <w:rPr>
                <w:rFonts w:ascii="Arial Narrow" w:hAnsi="Arial Narrow"/>
                <w:sz w:val="22"/>
              </w:rPr>
              <w:t>202</w:t>
            </w:r>
            <w:r w:rsidR="002F5793" w:rsidRPr="002F5793">
              <w:rPr>
                <w:rFonts w:ascii="Arial Narrow" w:hAnsi="Arial Narrow"/>
                <w:sz w:val="22"/>
              </w:rPr>
              <w:t xml:space="preserve"> Kliniken in Deutschland eingesetzt (Schätzung aufgrund der NUB-Anfragen des Vorjahres).</w:t>
            </w:r>
          </w:p>
        </w:tc>
      </w:tr>
    </w:tbl>
    <w:p w14:paraId="43674FE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0D5B1E11"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BC47BA">
              <w:rPr>
                <w:rFonts w:ascii="Arial Narrow" w:hAnsi="Arial Narrow"/>
                <w:b/>
                <w:sz w:val="22"/>
              </w:rPr>
              <w:t>5</w:t>
            </w:r>
            <w:r w:rsidR="000953D2">
              <w:rPr>
                <w:rFonts w:ascii="Arial Narrow" w:hAnsi="Arial Narrow"/>
                <w:b/>
                <w:sz w:val="22"/>
              </w:rPr>
              <w:t xml:space="preserve"> oder in 202</w:t>
            </w:r>
            <w:r w:rsidR="003E21E9">
              <w:rPr>
                <w:rFonts w:ascii="Arial Narrow" w:hAnsi="Arial Narrow"/>
                <w:b/>
                <w:sz w:val="22"/>
              </w:rPr>
              <w:t>6</w:t>
            </w:r>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7B9D37EE"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1073E2">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5977A9C8"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970724">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5EB95577" w:rsidR="008E6675" w:rsidRPr="005638EB" w:rsidRDefault="008E6675" w:rsidP="00285AE4">
            <w:pPr>
              <w:rPr>
                <w:rFonts w:ascii="Arial Narrow" w:hAnsi="Arial Narrow"/>
              </w:rPr>
            </w:pPr>
            <w:r w:rsidRPr="008C1686">
              <w:rPr>
                <w:rFonts w:ascii="Arial Narrow" w:hAnsi="Arial Narrow"/>
                <w:b/>
                <w:sz w:val="22"/>
              </w:rPr>
              <w:t>Wieviele P</w:t>
            </w:r>
            <w:r w:rsidR="00A530BE">
              <w:rPr>
                <w:rFonts w:ascii="Arial Narrow" w:hAnsi="Arial Narrow"/>
                <w:b/>
                <w:sz w:val="22"/>
              </w:rPr>
              <w:t>atienten planen Sie im Jahr 20</w:t>
            </w:r>
            <w:r w:rsidR="000953D2">
              <w:rPr>
                <w:rFonts w:ascii="Arial Narrow" w:hAnsi="Arial Narrow"/>
                <w:b/>
                <w:sz w:val="22"/>
              </w:rPr>
              <w:t>2</w:t>
            </w:r>
            <w:r w:rsidR="00F75470">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tc>
          <w:tcPr>
            <w:tcW w:w="9212" w:type="dxa"/>
          </w:tcPr>
          <w:p w14:paraId="3C690DA9" w14:textId="77777777" w:rsidR="0092274B" w:rsidRDefault="0092274B" w:rsidP="006C0656">
            <w:pPr>
              <w:rPr>
                <w:rFonts w:ascii="Arial Narrow" w:hAnsi="Arial Narrow"/>
                <w:sz w:val="22"/>
              </w:rPr>
            </w:pPr>
            <w:r>
              <w:rPr>
                <w:rFonts w:ascii="Arial Narrow" w:hAnsi="Arial Narrow"/>
                <w:sz w:val="22"/>
              </w:rPr>
              <w:t>Sachkosten:</w:t>
            </w:r>
          </w:p>
          <w:p w14:paraId="15F25D83" w14:textId="003677B7" w:rsidR="0080218A" w:rsidRDefault="00B104A4" w:rsidP="006C0656">
            <w:pPr>
              <w:rPr>
                <w:rFonts w:ascii="Arial Narrow" w:hAnsi="Arial Narrow"/>
                <w:sz w:val="22"/>
              </w:rPr>
            </w:pPr>
            <w:r>
              <w:rPr>
                <w:rFonts w:ascii="Arial Narrow" w:hAnsi="Arial Narrow"/>
                <w:sz w:val="22"/>
              </w:rPr>
              <w:t xml:space="preserve">Die empfohlene </w:t>
            </w:r>
            <w:r w:rsidR="00924BF6">
              <w:rPr>
                <w:rFonts w:ascii="Arial Narrow" w:hAnsi="Arial Narrow"/>
                <w:sz w:val="22"/>
              </w:rPr>
              <w:t>Anfangsd</w:t>
            </w:r>
            <w:r>
              <w:rPr>
                <w:rFonts w:ascii="Arial Narrow" w:hAnsi="Arial Narrow"/>
                <w:sz w:val="22"/>
              </w:rPr>
              <w:t xml:space="preserve">osierung </w:t>
            </w:r>
            <w:r w:rsidR="00924BF6">
              <w:rPr>
                <w:rFonts w:ascii="Arial Narrow" w:hAnsi="Arial Narrow"/>
                <w:sz w:val="22"/>
              </w:rPr>
              <w:t xml:space="preserve">beträgt </w:t>
            </w:r>
            <w:r w:rsidR="00924BF6" w:rsidRPr="00275E60">
              <w:rPr>
                <w:rFonts w:ascii="Arial Narrow" w:hAnsi="Arial Narrow"/>
                <w:sz w:val="22"/>
              </w:rPr>
              <w:t>285 mg</w:t>
            </w:r>
            <w:r w:rsidR="00ED1EE9">
              <w:rPr>
                <w:rFonts w:ascii="Arial Narrow" w:hAnsi="Arial Narrow"/>
                <w:sz w:val="22"/>
              </w:rPr>
              <w:t xml:space="preserve"> einmal wöchentlich. </w:t>
            </w:r>
          </w:p>
          <w:p w14:paraId="300AF523" w14:textId="1985AC76" w:rsidR="006C0656" w:rsidRPr="00275E60" w:rsidRDefault="00ED1EE9" w:rsidP="006C0656">
            <w:pPr>
              <w:rPr>
                <w:rFonts w:ascii="Arial Narrow" w:hAnsi="Arial Narrow"/>
                <w:sz w:val="22"/>
              </w:rPr>
            </w:pPr>
            <w:r>
              <w:rPr>
                <w:rFonts w:ascii="Arial Narrow" w:hAnsi="Arial Narrow"/>
                <w:sz w:val="22"/>
              </w:rPr>
              <w:t>Der Preis pro Packung</w:t>
            </w:r>
            <w:r w:rsidR="00607F6D">
              <w:rPr>
                <w:rFonts w:ascii="Arial Narrow" w:hAnsi="Arial Narrow"/>
                <w:sz w:val="22"/>
              </w:rPr>
              <w:t xml:space="preserve"> beträgt</w:t>
            </w:r>
            <w:r w:rsidR="00D3462F">
              <w:rPr>
                <w:rFonts w:ascii="Arial Narrow" w:hAnsi="Arial Narrow"/>
                <w:sz w:val="22"/>
              </w:rPr>
              <w:t xml:space="preserve"> </w:t>
            </w:r>
            <w:r w:rsidR="00D3462F" w:rsidRPr="00275E60">
              <w:rPr>
                <w:rFonts w:ascii="Arial Narrow" w:hAnsi="Arial Narrow"/>
                <w:sz w:val="22"/>
              </w:rPr>
              <w:t xml:space="preserve">12.928,28 € </w:t>
            </w:r>
            <w:r w:rsidR="00D3462F">
              <w:rPr>
                <w:rFonts w:ascii="Arial Narrow" w:hAnsi="Arial Narrow"/>
                <w:sz w:val="22"/>
              </w:rPr>
              <w:t>(AVP)</w:t>
            </w:r>
            <w:r w:rsidR="00D3462F" w:rsidRPr="00275E60">
              <w:rPr>
                <w:rFonts w:ascii="Arial Narrow" w:hAnsi="Arial Narrow"/>
                <w:sz w:val="22"/>
              </w:rPr>
              <w:t xml:space="preserve"> </w:t>
            </w:r>
            <w:r w:rsidR="00D3462F">
              <w:rPr>
                <w:rFonts w:ascii="Arial Narrow" w:hAnsi="Arial Narrow"/>
                <w:sz w:val="22"/>
              </w:rPr>
              <w:t xml:space="preserve">(laut Lauer-Taxe inkl. MWSt., Preis Stand 01.08.2026); </w:t>
            </w:r>
            <w:r w:rsidR="0092274B">
              <w:rPr>
                <w:rFonts w:ascii="Arial Narrow" w:hAnsi="Arial Narrow"/>
                <w:sz w:val="22"/>
              </w:rPr>
              <w:t>Packungsgröße:</w:t>
            </w:r>
            <w:r w:rsidR="006C0656" w:rsidRPr="00275E60">
              <w:rPr>
                <w:rFonts w:ascii="Arial Narrow" w:hAnsi="Arial Narrow"/>
                <w:sz w:val="22"/>
              </w:rPr>
              <w:t xml:space="preserve"> 285 mg / 1,5 ml i. e. Fertigspritze zur subkutanen Injektion; PZN: 14327526</w:t>
            </w:r>
          </w:p>
          <w:p w14:paraId="4C53647D" w14:textId="1BB869E3" w:rsidR="00D33D2D" w:rsidRDefault="00D33D2D" w:rsidP="00D33D2D">
            <w:pPr>
              <w:rPr>
                <w:rFonts w:ascii="Arial Narrow" w:hAnsi="Arial Narrow"/>
                <w:sz w:val="22"/>
              </w:rPr>
            </w:pPr>
            <w:r w:rsidRPr="00541B64">
              <w:rPr>
                <w:rFonts w:ascii="Arial Narrow" w:hAnsi="Arial Narrow"/>
                <w:sz w:val="22"/>
              </w:rPr>
              <w:t xml:space="preserve">Daraus ergeben sich Therapiekosten von </w:t>
            </w:r>
            <w:r w:rsidRPr="00275E60">
              <w:rPr>
                <w:rFonts w:ascii="Arial Narrow" w:hAnsi="Arial Narrow"/>
                <w:sz w:val="22"/>
              </w:rPr>
              <w:t xml:space="preserve">12.928,28 € </w:t>
            </w:r>
            <w:r w:rsidR="007C3E56">
              <w:rPr>
                <w:rFonts w:ascii="Arial Narrow" w:hAnsi="Arial Narrow"/>
                <w:sz w:val="22"/>
              </w:rPr>
              <w:t>für</w:t>
            </w:r>
            <w:r w:rsidRPr="00541B64">
              <w:rPr>
                <w:rFonts w:ascii="Arial Narrow" w:hAnsi="Arial Narrow"/>
                <w:sz w:val="22"/>
              </w:rPr>
              <w:t xml:space="preserve"> 7 Tage.</w:t>
            </w:r>
          </w:p>
          <w:p w14:paraId="445FF02C" w14:textId="78AB949F" w:rsidR="00EC42BC" w:rsidRDefault="00EC42BC" w:rsidP="00EC42BC">
            <w:pPr>
              <w:rPr>
                <w:rFonts w:ascii="Arial Narrow" w:hAnsi="Arial Narrow"/>
                <w:sz w:val="22"/>
              </w:rPr>
            </w:pPr>
          </w:p>
          <w:p w14:paraId="6060837F" w14:textId="68FB76FF" w:rsidR="00EC42BC" w:rsidRDefault="00EC42BC" w:rsidP="00EC42BC">
            <w:pPr>
              <w:rPr>
                <w:rFonts w:ascii="Arial Narrow" w:hAnsi="Arial Narrow"/>
                <w:sz w:val="22"/>
              </w:rPr>
            </w:pPr>
            <w:r w:rsidRPr="00275E60">
              <w:rPr>
                <w:rFonts w:ascii="Arial Narrow" w:hAnsi="Arial Narrow"/>
                <w:sz w:val="22"/>
              </w:rPr>
              <w:t xml:space="preserve">Personalkosten: </w:t>
            </w:r>
          </w:p>
          <w:p w14:paraId="6722B566" w14:textId="77777777" w:rsidR="00CC2B2C" w:rsidRPr="001774E7" w:rsidRDefault="00CC2B2C" w:rsidP="00CC2B2C">
            <w:pPr>
              <w:rPr>
                <w:rFonts w:ascii="Arial Narrow" w:hAnsi="Arial Narrow"/>
                <w:sz w:val="22"/>
              </w:rPr>
            </w:pPr>
            <w:r w:rsidRPr="001774E7">
              <w:rPr>
                <w:rFonts w:ascii="Arial Narrow" w:hAnsi="Arial Narrow"/>
                <w:sz w:val="22"/>
              </w:rPr>
              <w:t>Für die Applikation: ca. 5 Minuten (ÄD) und ca. 5 Minuten (PD)</w:t>
            </w:r>
          </w:p>
          <w:p w14:paraId="37091033" w14:textId="77777777" w:rsidR="00156FE0" w:rsidRDefault="00CC2B2C" w:rsidP="007A314E">
            <w:pPr>
              <w:rPr>
                <w:rFonts w:ascii="Arial Narrow" w:hAnsi="Arial Narrow"/>
                <w:sz w:val="22"/>
              </w:rPr>
            </w:pPr>
            <w:r w:rsidRPr="001774E7">
              <w:rPr>
                <w:rFonts w:ascii="Arial Narrow" w:hAnsi="Arial Narrow"/>
                <w:sz w:val="22"/>
              </w:rPr>
              <w:t>Für die Überwachung: ca. 30 Minuten (PD), ca. 10 Minuten (ÄD)</w:t>
            </w:r>
          </w:p>
          <w:p w14:paraId="493918E4" w14:textId="77777777" w:rsidR="008D2EFB" w:rsidRDefault="008D2EFB" w:rsidP="007A314E">
            <w:pPr>
              <w:rPr>
                <w:rFonts w:ascii="Arial Narrow" w:hAnsi="Arial Narrow"/>
                <w:sz w:val="22"/>
              </w:rPr>
            </w:pPr>
          </w:p>
          <w:p w14:paraId="2081A0C3" w14:textId="77777777" w:rsidR="00CE5E05" w:rsidRPr="008B72D2" w:rsidRDefault="00CE5E05" w:rsidP="00CE5E05">
            <w:pPr>
              <w:rPr>
                <w:rFonts w:ascii="Arial Narrow" w:hAnsi="Arial Narrow"/>
                <w:sz w:val="22"/>
                <w:szCs w:val="22"/>
              </w:rPr>
            </w:pPr>
            <w:r w:rsidRPr="008B72D2">
              <w:rPr>
                <w:rFonts w:ascii="Arial Narrow" w:hAnsi="Arial Narrow"/>
                <w:sz w:val="22"/>
                <w:szCs w:val="22"/>
              </w:rPr>
              <w:t xml:space="preserve">Da das Medikament eine </w:t>
            </w:r>
            <w:r>
              <w:rPr>
                <w:rFonts w:ascii="Arial Narrow" w:hAnsi="Arial Narrow"/>
                <w:sz w:val="22"/>
                <w:szCs w:val="22"/>
              </w:rPr>
              <w:t>subkutane</w:t>
            </w:r>
            <w:r w:rsidRPr="008B72D2">
              <w:rPr>
                <w:rFonts w:ascii="Arial Narrow" w:hAnsi="Arial Narrow"/>
                <w:sz w:val="22"/>
                <w:szCs w:val="22"/>
              </w:rPr>
              <w:t xml:space="preserve"> Dauertherapie ist, geschieht es eher selten, dass ein Patient für diese </w:t>
            </w:r>
          </w:p>
          <w:p w14:paraId="2801116A" w14:textId="77777777" w:rsidR="00CE5E05" w:rsidRPr="008B72D2" w:rsidRDefault="00CE5E05" w:rsidP="00CE5E05">
            <w:pPr>
              <w:rPr>
                <w:rFonts w:ascii="Arial Narrow" w:hAnsi="Arial Narrow"/>
                <w:sz w:val="22"/>
                <w:szCs w:val="22"/>
              </w:rPr>
            </w:pPr>
            <w:r>
              <w:rPr>
                <w:rFonts w:ascii="Arial Narrow" w:hAnsi="Arial Narrow"/>
                <w:sz w:val="22"/>
                <w:szCs w:val="22"/>
              </w:rPr>
              <w:t>subkutane</w:t>
            </w:r>
            <w:r w:rsidRPr="008B72D2">
              <w:rPr>
                <w:rFonts w:ascii="Arial Narrow" w:hAnsi="Arial Narrow"/>
                <w:sz w:val="22"/>
                <w:szCs w:val="22"/>
              </w:rPr>
              <w:t xml:space="preserve"> Gabe stationär behandelt wird und somit in eine organspezifische DRG gruppiert wird. Es kommt sehr viel häufiger vor, dass der Patient wegen einer anderen Erkrankung aufgenommen wird und dieses Medikament als seine Dauermedikation weiter erhält. Die Kosten für dieses Medikament können daher in vielen DRGs </w:t>
            </w:r>
          </w:p>
          <w:p w14:paraId="7D03D20B" w14:textId="4C05C84E" w:rsidR="00BE4F0E" w:rsidRPr="006C0656" w:rsidRDefault="00CE5E05" w:rsidP="007A314E">
            <w:pPr>
              <w:rPr>
                <w:rFonts w:ascii="Arial Narrow" w:hAnsi="Arial Narrow"/>
                <w:sz w:val="22"/>
              </w:rPr>
            </w:pPr>
            <w:r w:rsidRPr="008B72D2">
              <w:rPr>
                <w:rFonts w:ascii="Arial Narrow" w:hAnsi="Arial Narrow"/>
                <w:sz w:val="22"/>
                <w:szCs w:val="22"/>
              </w:rPr>
              <w:t>vorkommen und sind möglicherweise auch nicht konkret dem Fall zugeordnet.</w:t>
            </w:r>
          </w:p>
        </w:tc>
      </w:tr>
    </w:tbl>
    <w:p w14:paraId="45E65153"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5638EB" w14:paraId="56F9F66E" w14:textId="77777777">
        <w:tc>
          <w:tcPr>
            <w:tcW w:w="9212" w:type="dxa"/>
          </w:tcPr>
          <w:p w14:paraId="3FDE8751" w14:textId="49DA3F41" w:rsidR="008E6675" w:rsidRPr="00A100DC" w:rsidRDefault="003F2C6C" w:rsidP="006C0656">
            <w:pPr>
              <w:rPr>
                <w:rFonts w:ascii="Arial Narrow" w:hAnsi="Arial Narrow"/>
                <w:color w:val="00B050"/>
                <w:sz w:val="22"/>
              </w:rPr>
            </w:pPr>
            <w:r>
              <w:rPr>
                <w:rFonts w:ascii="Arial Narrow" w:hAnsi="Arial Narrow"/>
                <w:color w:val="000000" w:themeColor="text1"/>
                <w:sz w:val="22"/>
              </w:rPr>
              <w:t>K63B</w:t>
            </w:r>
            <w:r w:rsidR="006C0656" w:rsidRPr="006C0656">
              <w:rPr>
                <w:rFonts w:ascii="Arial Narrow" w:hAnsi="Arial Narrow"/>
                <w:color w:val="000000" w:themeColor="text1"/>
                <w:sz w:val="22"/>
              </w:rPr>
              <w:t xml:space="preserve"> </w:t>
            </w:r>
          </w:p>
        </w:tc>
      </w:tr>
    </w:tbl>
    <w:p w14:paraId="4E6FC927" w14:textId="77777777" w:rsidR="008E6675" w:rsidRPr="005638EB" w:rsidRDefault="008E6675" w:rsidP="005638EB">
      <w:pPr>
        <w:rPr>
          <w:rFonts w:ascii="Arial Narrow" w:hAnsi="Arial Narrow"/>
          <w:b/>
        </w:rPr>
      </w:pPr>
    </w:p>
    <w:tbl>
      <w:tblPr>
        <w:tblStyle w:val="TableNormal1"/>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rsidTr="0D4F0F3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6C0656" w14:paraId="3100E4A7" w14:textId="77777777" w:rsidTr="0D4F0F37">
        <w:tc>
          <w:tcPr>
            <w:tcW w:w="9212" w:type="dxa"/>
          </w:tcPr>
          <w:p w14:paraId="48D1E4F6" w14:textId="2D6A5939" w:rsidR="009F2304" w:rsidRPr="00ED4386" w:rsidRDefault="009F2304" w:rsidP="009F2304">
            <w:pPr>
              <w:rPr>
                <w:rFonts w:ascii="Arial Narrow" w:hAnsi="Arial Narrow"/>
                <w:sz w:val="22"/>
              </w:rPr>
            </w:pPr>
            <w:r>
              <w:rPr>
                <w:rFonts w:ascii="Arial Narrow" w:hAnsi="Arial Narrow"/>
                <w:sz w:val="22"/>
              </w:rPr>
              <w:t>Volane</w:t>
            </w:r>
            <w:r w:rsidR="0035147B">
              <w:rPr>
                <w:rFonts w:ascii="Arial Narrow" w:hAnsi="Arial Narrow"/>
                <w:sz w:val="22"/>
              </w:rPr>
              <w:t>sorsen</w:t>
            </w:r>
            <w:r w:rsidRPr="00ED4386">
              <w:rPr>
                <w:rFonts w:ascii="Arial Narrow" w:hAnsi="Arial Narrow"/>
                <w:sz w:val="22"/>
              </w:rPr>
              <w:t xml:space="preserve"> wurde im Jahr </w:t>
            </w:r>
            <w:r w:rsidR="0035147B">
              <w:rPr>
                <w:rFonts w:ascii="Arial Narrow" w:hAnsi="Arial Narrow"/>
                <w:sz w:val="22"/>
              </w:rPr>
              <w:t>2019</w:t>
            </w:r>
            <w:r w:rsidRPr="00ED4386">
              <w:rPr>
                <w:rFonts w:ascii="Arial Narrow" w:hAnsi="Arial Narrow"/>
                <w:sz w:val="22"/>
              </w:rPr>
              <w:t xml:space="preserve"> zugelassen und ist seit dem Jahr </w:t>
            </w:r>
            <w:r w:rsidR="0035147B">
              <w:rPr>
                <w:rFonts w:ascii="Arial Narrow" w:hAnsi="Arial Narrow"/>
                <w:sz w:val="22"/>
              </w:rPr>
              <w:t>2019</w:t>
            </w:r>
            <w:r w:rsidRPr="00ED4386">
              <w:rPr>
                <w:rFonts w:ascii="Arial Narrow" w:hAnsi="Arial Narrow"/>
                <w:sz w:val="22"/>
              </w:rPr>
              <w:t xml:space="preserve"> in Deutschland auf dem Markt. </w:t>
            </w:r>
          </w:p>
          <w:p w14:paraId="37499EEA" w14:textId="77777777" w:rsidR="009F2304" w:rsidRPr="00ED4386" w:rsidRDefault="009F2304" w:rsidP="009F2304">
            <w:pPr>
              <w:rPr>
                <w:rFonts w:ascii="Arial Narrow" w:hAnsi="Arial Narrow"/>
                <w:sz w:val="22"/>
              </w:rPr>
            </w:pPr>
            <w:r w:rsidRPr="00ED4386">
              <w:rPr>
                <w:rFonts w:ascii="Arial Narrow" w:hAnsi="Arial Narrow"/>
                <w:sz w:val="22"/>
              </w:rPr>
              <w:t>Für das Datenjahr 202</w:t>
            </w:r>
            <w:r>
              <w:rPr>
                <w:rFonts w:ascii="Arial Narrow" w:hAnsi="Arial Narrow"/>
                <w:sz w:val="22"/>
              </w:rPr>
              <w:t>5</w:t>
            </w:r>
            <w:r w:rsidRPr="00ED4386">
              <w:rPr>
                <w:rFonts w:ascii="Arial Narrow" w:hAnsi="Arial Narrow"/>
                <w:sz w:val="22"/>
              </w:rPr>
              <w:t xml:space="preserve"> sollten </w:t>
            </w:r>
            <w:r>
              <w:rPr>
                <w:rFonts w:ascii="Arial Narrow" w:hAnsi="Arial Narrow"/>
                <w:sz w:val="22"/>
              </w:rPr>
              <w:t xml:space="preserve">daher </w:t>
            </w:r>
            <w:r w:rsidRPr="00ED4386">
              <w:rPr>
                <w:rFonts w:ascii="Arial Narrow" w:hAnsi="Arial Narrow"/>
                <w:sz w:val="22"/>
              </w:rPr>
              <w:t xml:space="preserve">aus den Kalkulationshäusern Kostendaten für den Einsatz vorliegen. </w:t>
            </w:r>
          </w:p>
          <w:p w14:paraId="1E623FEA" w14:textId="77777777" w:rsidR="009F2304" w:rsidRDefault="009F2304" w:rsidP="009F2304">
            <w:pPr>
              <w:rPr>
                <w:rFonts w:ascii="Arial Narrow" w:hAnsi="Arial Narrow"/>
                <w:sz w:val="22"/>
              </w:rPr>
            </w:pPr>
            <w:r w:rsidRPr="00ED4386">
              <w:rPr>
                <w:rFonts w:ascii="Arial Narrow" w:hAnsi="Arial Narrow"/>
                <w:sz w:val="22"/>
              </w:rPr>
              <w:t>Wir vermuten, dass die Stichprobe jedoch zu klein war, als dass genügend Kosten- und Leistungsinformationen aus den Krankenhäusern vorliegen, um damit eine sachgerechte Abbildung im G-DRG System 202</w:t>
            </w:r>
            <w:r>
              <w:rPr>
                <w:rFonts w:ascii="Arial Narrow" w:hAnsi="Arial Narrow"/>
                <w:sz w:val="22"/>
              </w:rPr>
              <w:t>7</w:t>
            </w:r>
            <w:r w:rsidRPr="00ED4386">
              <w:rPr>
                <w:rFonts w:ascii="Arial Narrow" w:hAnsi="Arial Narrow"/>
                <w:sz w:val="22"/>
              </w:rPr>
              <w:t xml:space="preserve"> zu ermöglichen.</w:t>
            </w:r>
          </w:p>
          <w:p w14:paraId="3FAF7495" w14:textId="77777777" w:rsidR="000D5A49" w:rsidRPr="00ED4386" w:rsidRDefault="000D5A49" w:rsidP="009F2304">
            <w:pPr>
              <w:rPr>
                <w:rFonts w:ascii="Arial Narrow" w:hAnsi="Arial Narrow"/>
                <w:sz w:val="22"/>
              </w:rPr>
            </w:pPr>
          </w:p>
          <w:p w14:paraId="14870836" w14:textId="181EEA7A" w:rsidR="00E83B74" w:rsidRPr="00ED4386" w:rsidRDefault="00E83B74" w:rsidP="00E83B74">
            <w:pPr>
              <w:rPr>
                <w:rFonts w:ascii="Arial Narrow" w:hAnsi="Arial Narrow"/>
                <w:sz w:val="22"/>
                <w:szCs w:val="22"/>
              </w:rPr>
            </w:pPr>
            <w:r w:rsidRPr="0D4F0F37">
              <w:rPr>
                <w:rFonts w:ascii="Arial Narrow" w:hAnsi="Arial Narrow"/>
                <w:sz w:val="22"/>
                <w:szCs w:val="22"/>
              </w:rPr>
              <w:t xml:space="preserve">Die zusätzlichen Kosten von ca. 12.928€ pro Applikation/Aufenthalt können aber mit der o.g. Fallpauschale allein nicht ausreichend abgebildet werden und </w:t>
            </w:r>
            <w:r w:rsidR="00D44AA5" w:rsidRPr="0D4F0F37">
              <w:rPr>
                <w:rFonts w:ascii="Arial Narrow" w:hAnsi="Arial Narrow"/>
                <w:sz w:val="22"/>
                <w:szCs w:val="22"/>
              </w:rPr>
              <w:t>Volanesorsen</w:t>
            </w:r>
            <w:r w:rsidRPr="0D4F0F37">
              <w:rPr>
                <w:rFonts w:ascii="Arial Narrow" w:hAnsi="Arial Narrow"/>
                <w:sz w:val="22"/>
                <w:szCs w:val="22"/>
              </w:rPr>
              <w:t xml:space="preserve"> ist bisher</w:t>
            </w:r>
            <w:r w:rsidR="6C0DF487" w:rsidRPr="0D4F0F37">
              <w:rPr>
                <w:rFonts w:ascii="Arial Narrow" w:hAnsi="Arial Narrow"/>
                <w:sz w:val="22"/>
                <w:szCs w:val="22"/>
              </w:rPr>
              <w:t xml:space="preserve"> als Zusatzentgelt</w:t>
            </w:r>
            <w:r w:rsidRPr="0D4F0F37">
              <w:rPr>
                <w:rFonts w:ascii="Arial Narrow" w:hAnsi="Arial Narrow"/>
                <w:sz w:val="22"/>
                <w:szCs w:val="22"/>
              </w:rPr>
              <w:t xml:space="preserve"> im </w:t>
            </w:r>
            <w:r w:rsidR="00D44AA5" w:rsidRPr="0D4F0F37">
              <w:rPr>
                <w:rFonts w:ascii="Arial Narrow" w:hAnsi="Arial Narrow"/>
                <w:sz w:val="22"/>
                <w:szCs w:val="22"/>
              </w:rPr>
              <w:t>Fallpauschalenk</w:t>
            </w:r>
            <w:r w:rsidRPr="0D4F0F37">
              <w:rPr>
                <w:rFonts w:ascii="Arial Narrow" w:hAnsi="Arial Narrow"/>
                <w:sz w:val="22"/>
                <w:szCs w:val="22"/>
              </w:rPr>
              <w:t xml:space="preserve">atalog nicht enthalten. </w:t>
            </w:r>
          </w:p>
          <w:p w14:paraId="222643B9" w14:textId="289C0813" w:rsidR="008E6675" w:rsidRPr="006C0656" w:rsidRDefault="00E83B74" w:rsidP="006C0656">
            <w:pPr>
              <w:rPr>
                <w:rFonts w:ascii="Arial Narrow" w:hAnsi="Arial Narrow"/>
                <w:color w:val="000000" w:themeColor="text1"/>
                <w:sz w:val="22"/>
              </w:rPr>
            </w:pPr>
            <w:r w:rsidRPr="00ED4386">
              <w:rPr>
                <w:rFonts w:ascii="Arial Narrow" w:hAnsi="Arial Narrow"/>
                <w:sz w:val="22"/>
              </w:rPr>
              <w:t xml:space="preserve">Aufgrund der hohen Kosten des Medikaments kommt es zu einer Unterfinanzierung in den </w:t>
            </w:r>
            <w:r w:rsidRPr="00620855">
              <w:rPr>
                <w:rFonts w:ascii="Arial Narrow" w:hAnsi="Arial Narrow"/>
                <w:sz w:val="22"/>
              </w:rPr>
              <w:t xml:space="preserve">entsprechenden Fällen </w:t>
            </w:r>
            <w:r>
              <w:rPr>
                <w:rFonts w:ascii="Arial Narrow" w:hAnsi="Arial Narrow"/>
                <w:sz w:val="22"/>
              </w:rPr>
              <w:t xml:space="preserve">der </w:t>
            </w:r>
            <w:r w:rsidRPr="00ED4386">
              <w:rPr>
                <w:rFonts w:ascii="Arial Narrow" w:hAnsi="Arial Narrow"/>
                <w:sz w:val="22"/>
              </w:rPr>
              <w:t>betroffenen DRG</w:t>
            </w:r>
            <w:r>
              <w:rPr>
                <w:rFonts w:ascii="Arial Narrow" w:hAnsi="Arial Narrow"/>
                <w:sz w:val="22"/>
              </w:rPr>
              <w:t>(s)</w:t>
            </w:r>
            <w:r w:rsidRPr="00ED4386">
              <w:rPr>
                <w:rFonts w:ascii="Arial Narrow" w:hAnsi="Arial Narrow"/>
                <w:sz w:val="22"/>
              </w:rPr>
              <w:t>.</w:t>
            </w:r>
          </w:p>
        </w:tc>
      </w:tr>
    </w:tbl>
    <w:p w14:paraId="0A50A959" w14:textId="77777777" w:rsidR="008E6675" w:rsidRPr="006C0656" w:rsidRDefault="008E6675" w:rsidP="005638EB">
      <w:pPr>
        <w:rPr>
          <w:rFonts w:ascii="Arial Narrow" w:hAnsi="Arial Narrow"/>
          <w:color w:val="000000" w:themeColor="text1"/>
        </w:rPr>
      </w:pPr>
    </w:p>
    <w:sectPr w:rsidR="008E6675" w:rsidRPr="006C0656" w:rsidSect="004E1D0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E835" w14:textId="77777777" w:rsidR="00225ECB" w:rsidRDefault="00225ECB">
      <w:r>
        <w:separator/>
      </w:r>
    </w:p>
  </w:endnote>
  <w:endnote w:type="continuationSeparator" w:id="0">
    <w:p w14:paraId="202E2AF1" w14:textId="77777777" w:rsidR="00225ECB" w:rsidRDefault="00225ECB">
      <w:r>
        <w:continuationSeparator/>
      </w:r>
    </w:p>
  </w:endnote>
  <w:endnote w:type="continuationNotice" w:id="1">
    <w:p w14:paraId="6E9CF0D6" w14:textId="77777777" w:rsidR="00225ECB" w:rsidRDefault="00225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EE65" w14:textId="77777777" w:rsidR="00F907C2" w:rsidRDefault="00F907C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64097" w14:textId="77777777" w:rsidR="00A76396" w:rsidRPr="00435583" w:rsidRDefault="00A76396" w:rsidP="00435583">
    <w:pPr>
      <w:rPr>
        <w:rFonts w:ascii="Arial Narrow" w:hAnsi="Arial Narrow"/>
        <w:sz w:val="20"/>
        <w:szCs w:val="20"/>
      </w:rPr>
    </w:pPr>
    <w:r w:rsidRPr="00435583">
      <w:rPr>
        <w:rFonts w:ascii="Arial Narrow" w:hAnsi="Arial Narrow"/>
        <w:sz w:val="20"/>
        <w:szCs w:val="20"/>
      </w:rPr>
      <w:t xml:space="preserve">NUB-Musteranfrage </w:t>
    </w:r>
    <w:r w:rsidRPr="00D56D6E">
      <w:rPr>
        <w:rFonts w:ascii="Arial Narrow" w:hAnsi="Arial Narrow"/>
        <w:sz w:val="20"/>
        <w:szCs w:val="20"/>
      </w:rPr>
      <w:t>Volanesorsen</w:t>
    </w:r>
  </w:p>
  <w:p w14:paraId="5468C449" w14:textId="77777777" w:rsidR="00A76396" w:rsidRPr="005F5DF9" w:rsidRDefault="00A76396" w:rsidP="00435583">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523EFFC8" w14:textId="2667D847" w:rsidR="00A76396" w:rsidRPr="00435583" w:rsidRDefault="00A76396" w:rsidP="00435583">
    <w:pPr>
      <w:rPr>
        <w:sz w:val="20"/>
        <w:szCs w:val="20"/>
      </w:rPr>
    </w:pPr>
    <w:bookmarkStart w:id="0" w:name="_Hlk139466795"/>
    <w:bookmarkStart w:id="1" w:name="_Hlk139616809"/>
    <w:bookmarkStart w:id="2" w:name="_Hlk139616808"/>
    <w:bookmarkStart w:id="3" w:name="_Hlk139466796"/>
    <w:r w:rsidRPr="00DE0B27">
      <w:rPr>
        <w:rFonts w:ascii="Arial Narrow" w:hAnsi="Arial Narrow"/>
        <w:sz w:val="20"/>
        <w:szCs w:val="20"/>
      </w:rPr>
      <w:t>2</w:t>
    </w:r>
    <w:r>
      <w:rPr>
        <w:rFonts w:ascii="Arial Narrow" w:hAnsi="Arial Narrow"/>
        <w:sz w:val="20"/>
        <w:szCs w:val="20"/>
      </w:rPr>
      <w:t>7-</w:t>
    </w:r>
    <w:r w:rsidRPr="00DE0B27">
      <w:rPr>
        <w:rFonts w:ascii="Arial Narrow" w:hAnsi="Arial Narrow"/>
        <w:sz w:val="20"/>
        <w:szCs w:val="20"/>
      </w:rPr>
      <w:t xml:space="preserve"> Volanesorsen NUB-Anfrage-_Stand 2026-08-11</w:t>
    </w:r>
    <w:r>
      <w:rPr>
        <w:rFonts w:ascii="Arial Narrow" w:hAnsi="Arial Narrow"/>
        <w:sz w:val="20"/>
        <w:szCs w:val="20"/>
      </w:rPr>
      <w:t>_</w:t>
    </w:r>
    <w:bookmarkEnd w:id="0"/>
    <w:bookmarkEnd w:id="1"/>
    <w:bookmarkEnd w:id="2"/>
    <w:bookmarkEnd w:id="3"/>
    <w:r w:rsidR="0092109C">
      <w:rPr>
        <w:rFonts w:ascii="Arial Narrow" w:hAnsi="Arial Narrow"/>
        <w:sz w:val="20"/>
        <w:szCs w:val="20"/>
      </w:rPr>
      <w:t>Version4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58367" w14:textId="77777777" w:rsidR="00F907C2" w:rsidRDefault="00F907C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DD321" w14:textId="77777777" w:rsidR="00225ECB" w:rsidRDefault="00225ECB">
      <w:r>
        <w:separator/>
      </w:r>
    </w:p>
  </w:footnote>
  <w:footnote w:type="continuationSeparator" w:id="0">
    <w:p w14:paraId="6C3AE3B7" w14:textId="77777777" w:rsidR="00225ECB" w:rsidRDefault="00225ECB">
      <w:r>
        <w:continuationSeparator/>
      </w:r>
    </w:p>
  </w:footnote>
  <w:footnote w:type="continuationNotice" w:id="1">
    <w:p w14:paraId="4944473C" w14:textId="77777777" w:rsidR="00225ECB" w:rsidRDefault="00225E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FA33" w14:textId="77777777" w:rsidR="00F907C2" w:rsidRDefault="00F907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2F7C6" w14:textId="77777777" w:rsidR="00A76396" w:rsidRPr="004C4F82" w:rsidRDefault="00A76396" w:rsidP="00596F9A">
    <w:pPr>
      <w:rPr>
        <w:sz w:val="48"/>
      </w:rPr>
    </w:pPr>
    <w:r w:rsidRPr="004C4F82">
      <w:rPr>
        <w:sz w:val="48"/>
      </w:rPr>
      <w:t>NUB Antrag 20</w:t>
    </w:r>
    <w:r>
      <w:rPr>
        <w:sz w:val="48"/>
      </w:rPr>
      <w:t>26</w:t>
    </w:r>
    <w:r w:rsidRPr="004C4F82">
      <w:rPr>
        <w:sz w:val="48"/>
      </w:rPr>
      <w:t>/20</w:t>
    </w:r>
    <w:r>
      <w:rPr>
        <w:sz w:val="48"/>
      </w:rPr>
      <w:t>27</w:t>
    </w:r>
  </w:p>
  <w:p w14:paraId="5E484A0F" w14:textId="77777777" w:rsidR="00A76396" w:rsidRPr="004C4F82" w:rsidRDefault="00A76396" w:rsidP="00596F9A">
    <w:pPr>
      <w:rPr>
        <w:sz w:val="48"/>
      </w:rPr>
    </w:pPr>
    <w:r>
      <w:rPr>
        <w:sz w:val="48"/>
      </w:rPr>
      <w:t>Volanesorsen</w:t>
    </w:r>
  </w:p>
  <w:p w14:paraId="164E0734" w14:textId="77777777" w:rsidR="00A76396" w:rsidRDefault="00A7639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807F2" w14:textId="77777777" w:rsidR="00F907C2" w:rsidRDefault="00F907C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58772A"/>
    <w:multiLevelType w:val="hybridMultilevel"/>
    <w:tmpl w:val="A96E64F0"/>
    <w:lvl w:ilvl="0" w:tplc="CEFE60EC">
      <w:start w:val="1"/>
      <w:numFmt w:val="decimal"/>
      <w:lvlText w:val="%1."/>
      <w:lvlJc w:val="left"/>
      <w:pPr>
        <w:ind w:left="1060" w:hanging="360"/>
      </w:pPr>
    </w:lvl>
    <w:lvl w:ilvl="1" w:tplc="A942CDF2">
      <w:start w:val="1"/>
      <w:numFmt w:val="decimal"/>
      <w:lvlText w:val="%2."/>
      <w:lvlJc w:val="left"/>
      <w:pPr>
        <w:ind w:left="1060" w:hanging="360"/>
      </w:pPr>
    </w:lvl>
    <w:lvl w:ilvl="2" w:tplc="6E58B580">
      <w:start w:val="1"/>
      <w:numFmt w:val="decimal"/>
      <w:lvlText w:val="%3."/>
      <w:lvlJc w:val="left"/>
      <w:pPr>
        <w:ind w:left="1060" w:hanging="360"/>
      </w:pPr>
    </w:lvl>
    <w:lvl w:ilvl="3" w:tplc="6BB8D372">
      <w:start w:val="1"/>
      <w:numFmt w:val="decimal"/>
      <w:lvlText w:val="%4."/>
      <w:lvlJc w:val="left"/>
      <w:pPr>
        <w:ind w:left="1060" w:hanging="360"/>
      </w:pPr>
    </w:lvl>
    <w:lvl w:ilvl="4" w:tplc="61DA45E8">
      <w:start w:val="1"/>
      <w:numFmt w:val="decimal"/>
      <w:lvlText w:val="%5."/>
      <w:lvlJc w:val="left"/>
      <w:pPr>
        <w:ind w:left="1060" w:hanging="360"/>
      </w:pPr>
    </w:lvl>
    <w:lvl w:ilvl="5" w:tplc="534E4308">
      <w:start w:val="1"/>
      <w:numFmt w:val="decimal"/>
      <w:lvlText w:val="%6."/>
      <w:lvlJc w:val="left"/>
      <w:pPr>
        <w:ind w:left="1060" w:hanging="360"/>
      </w:pPr>
    </w:lvl>
    <w:lvl w:ilvl="6" w:tplc="0E345284">
      <w:start w:val="1"/>
      <w:numFmt w:val="decimal"/>
      <w:lvlText w:val="%7."/>
      <w:lvlJc w:val="left"/>
      <w:pPr>
        <w:ind w:left="1060" w:hanging="360"/>
      </w:pPr>
    </w:lvl>
    <w:lvl w:ilvl="7" w:tplc="FAD08904">
      <w:start w:val="1"/>
      <w:numFmt w:val="decimal"/>
      <w:lvlText w:val="%8."/>
      <w:lvlJc w:val="left"/>
      <w:pPr>
        <w:ind w:left="1060" w:hanging="360"/>
      </w:pPr>
    </w:lvl>
    <w:lvl w:ilvl="8" w:tplc="09A4205A">
      <w:start w:val="1"/>
      <w:numFmt w:val="decimal"/>
      <w:lvlText w:val="%9."/>
      <w:lvlJc w:val="left"/>
      <w:pPr>
        <w:ind w:left="1060" w:hanging="360"/>
      </w:pPr>
    </w:lvl>
  </w:abstractNum>
  <w:abstractNum w:abstractNumId="2"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6"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8"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10"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1"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742003">
    <w:abstractNumId w:val="9"/>
  </w:num>
  <w:num w:numId="2" w16cid:durableId="1320966905">
    <w:abstractNumId w:val="1"/>
  </w:num>
  <w:num w:numId="3" w16cid:durableId="1563248054">
    <w:abstractNumId w:val="11"/>
  </w:num>
  <w:num w:numId="4" w16cid:durableId="1578513243">
    <w:abstractNumId w:val="0"/>
  </w:num>
  <w:num w:numId="5" w16cid:durableId="1591771032">
    <w:abstractNumId w:val="12"/>
  </w:num>
  <w:num w:numId="6" w16cid:durableId="1669944857">
    <w:abstractNumId w:val="3"/>
  </w:num>
  <w:num w:numId="7" w16cid:durableId="1798790414">
    <w:abstractNumId w:val="7"/>
  </w:num>
  <w:num w:numId="8" w16cid:durableId="1819347071">
    <w:abstractNumId w:val="4"/>
  </w:num>
  <w:num w:numId="9" w16cid:durableId="1890649850">
    <w:abstractNumId w:val="6"/>
  </w:num>
  <w:num w:numId="10" w16cid:durableId="1960261311">
    <w:abstractNumId w:val="10"/>
  </w:num>
  <w:num w:numId="11" w16cid:durableId="37702949">
    <w:abstractNumId w:val="8"/>
  </w:num>
  <w:num w:numId="12" w16cid:durableId="646129392">
    <w:abstractNumId w:val="2"/>
  </w:num>
  <w:num w:numId="13" w16cid:durableId="705182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4C32"/>
    <w:rsid w:val="0001380F"/>
    <w:rsid w:val="000140C0"/>
    <w:rsid w:val="00015BCA"/>
    <w:rsid w:val="00015CD7"/>
    <w:rsid w:val="000173D9"/>
    <w:rsid w:val="0002135C"/>
    <w:rsid w:val="000232C9"/>
    <w:rsid w:val="00024494"/>
    <w:rsid w:val="00024651"/>
    <w:rsid w:val="00030397"/>
    <w:rsid w:val="00030980"/>
    <w:rsid w:val="000326B8"/>
    <w:rsid w:val="0004094A"/>
    <w:rsid w:val="00042165"/>
    <w:rsid w:val="00044597"/>
    <w:rsid w:val="000551BC"/>
    <w:rsid w:val="00057A18"/>
    <w:rsid w:val="000605E2"/>
    <w:rsid w:val="00065A38"/>
    <w:rsid w:val="00067C77"/>
    <w:rsid w:val="00067CE9"/>
    <w:rsid w:val="00072A33"/>
    <w:rsid w:val="000741EE"/>
    <w:rsid w:val="000871C6"/>
    <w:rsid w:val="00090261"/>
    <w:rsid w:val="000953D2"/>
    <w:rsid w:val="000A0CB8"/>
    <w:rsid w:val="000A7FFD"/>
    <w:rsid w:val="000B04B9"/>
    <w:rsid w:val="000B1C4F"/>
    <w:rsid w:val="000B4187"/>
    <w:rsid w:val="000B5149"/>
    <w:rsid w:val="000C13A6"/>
    <w:rsid w:val="000C704A"/>
    <w:rsid w:val="000D2FE4"/>
    <w:rsid w:val="000D57F1"/>
    <w:rsid w:val="000D5A49"/>
    <w:rsid w:val="000D615D"/>
    <w:rsid w:val="000D71D2"/>
    <w:rsid w:val="000E4651"/>
    <w:rsid w:val="000F194B"/>
    <w:rsid w:val="000F20FD"/>
    <w:rsid w:val="000F55F8"/>
    <w:rsid w:val="000F7542"/>
    <w:rsid w:val="00104C97"/>
    <w:rsid w:val="001073E2"/>
    <w:rsid w:val="00111ABE"/>
    <w:rsid w:val="00112EA1"/>
    <w:rsid w:val="00116FA8"/>
    <w:rsid w:val="001174F6"/>
    <w:rsid w:val="001269C5"/>
    <w:rsid w:val="0013097E"/>
    <w:rsid w:val="00133D5C"/>
    <w:rsid w:val="001412E1"/>
    <w:rsid w:val="001419B0"/>
    <w:rsid w:val="00145BF9"/>
    <w:rsid w:val="001469F2"/>
    <w:rsid w:val="00151202"/>
    <w:rsid w:val="00156FE0"/>
    <w:rsid w:val="001572E2"/>
    <w:rsid w:val="00157706"/>
    <w:rsid w:val="00173016"/>
    <w:rsid w:val="001745F3"/>
    <w:rsid w:val="00174C6A"/>
    <w:rsid w:val="001774E7"/>
    <w:rsid w:val="001809A6"/>
    <w:rsid w:val="001812EC"/>
    <w:rsid w:val="00186570"/>
    <w:rsid w:val="001A1A38"/>
    <w:rsid w:val="001A7AC7"/>
    <w:rsid w:val="001B3DF4"/>
    <w:rsid w:val="001C390E"/>
    <w:rsid w:val="001D0A50"/>
    <w:rsid w:val="001E538A"/>
    <w:rsid w:val="001F2D65"/>
    <w:rsid w:val="001F39F1"/>
    <w:rsid w:val="001F4753"/>
    <w:rsid w:val="002005AF"/>
    <w:rsid w:val="00210C5B"/>
    <w:rsid w:val="00215061"/>
    <w:rsid w:val="00220715"/>
    <w:rsid w:val="00223917"/>
    <w:rsid w:val="00225ECB"/>
    <w:rsid w:val="0022730A"/>
    <w:rsid w:val="0022734D"/>
    <w:rsid w:val="0023001E"/>
    <w:rsid w:val="002333FF"/>
    <w:rsid w:val="0023478C"/>
    <w:rsid w:val="00234FB1"/>
    <w:rsid w:val="0024654E"/>
    <w:rsid w:val="00256A7C"/>
    <w:rsid w:val="00256B7C"/>
    <w:rsid w:val="00261A6A"/>
    <w:rsid w:val="00267374"/>
    <w:rsid w:val="00270094"/>
    <w:rsid w:val="0027273B"/>
    <w:rsid w:val="00274AAA"/>
    <w:rsid w:val="00275E60"/>
    <w:rsid w:val="00277178"/>
    <w:rsid w:val="00284147"/>
    <w:rsid w:val="0028432D"/>
    <w:rsid w:val="00285AE4"/>
    <w:rsid w:val="002913F7"/>
    <w:rsid w:val="002923D8"/>
    <w:rsid w:val="00294FD8"/>
    <w:rsid w:val="00295F7F"/>
    <w:rsid w:val="00296749"/>
    <w:rsid w:val="002B5188"/>
    <w:rsid w:val="002B6ABD"/>
    <w:rsid w:val="002B7C76"/>
    <w:rsid w:val="002C5D4D"/>
    <w:rsid w:val="002D43D6"/>
    <w:rsid w:val="002D5320"/>
    <w:rsid w:val="002D588A"/>
    <w:rsid w:val="002D7403"/>
    <w:rsid w:val="002E0510"/>
    <w:rsid w:val="002E5E26"/>
    <w:rsid w:val="002F5793"/>
    <w:rsid w:val="0030487A"/>
    <w:rsid w:val="00305016"/>
    <w:rsid w:val="0030701E"/>
    <w:rsid w:val="003164B3"/>
    <w:rsid w:val="0032263F"/>
    <w:rsid w:val="0032379C"/>
    <w:rsid w:val="00323F33"/>
    <w:rsid w:val="00330335"/>
    <w:rsid w:val="00332704"/>
    <w:rsid w:val="00340B12"/>
    <w:rsid w:val="00343044"/>
    <w:rsid w:val="003479E5"/>
    <w:rsid w:val="0035147B"/>
    <w:rsid w:val="00351656"/>
    <w:rsid w:val="003556D1"/>
    <w:rsid w:val="0036178C"/>
    <w:rsid w:val="0036325A"/>
    <w:rsid w:val="0036774A"/>
    <w:rsid w:val="00372C83"/>
    <w:rsid w:val="0038169A"/>
    <w:rsid w:val="00384168"/>
    <w:rsid w:val="00384D20"/>
    <w:rsid w:val="00386341"/>
    <w:rsid w:val="003904ED"/>
    <w:rsid w:val="0039389B"/>
    <w:rsid w:val="00394E09"/>
    <w:rsid w:val="003969E6"/>
    <w:rsid w:val="003B2E05"/>
    <w:rsid w:val="003C0C9D"/>
    <w:rsid w:val="003D39C8"/>
    <w:rsid w:val="003D6C65"/>
    <w:rsid w:val="003E21E9"/>
    <w:rsid w:val="003E4D33"/>
    <w:rsid w:val="003E5E6C"/>
    <w:rsid w:val="003F188D"/>
    <w:rsid w:val="003F2692"/>
    <w:rsid w:val="003F2C6C"/>
    <w:rsid w:val="00400D4B"/>
    <w:rsid w:val="0040610F"/>
    <w:rsid w:val="004071D9"/>
    <w:rsid w:val="0041156E"/>
    <w:rsid w:val="0041411B"/>
    <w:rsid w:val="0041753D"/>
    <w:rsid w:val="004226DE"/>
    <w:rsid w:val="00422874"/>
    <w:rsid w:val="00435583"/>
    <w:rsid w:val="0044264B"/>
    <w:rsid w:val="0044343E"/>
    <w:rsid w:val="00444461"/>
    <w:rsid w:val="00454847"/>
    <w:rsid w:val="00454A5D"/>
    <w:rsid w:val="004556B4"/>
    <w:rsid w:val="004604BA"/>
    <w:rsid w:val="004642E2"/>
    <w:rsid w:val="00467246"/>
    <w:rsid w:val="00472A26"/>
    <w:rsid w:val="004736E4"/>
    <w:rsid w:val="00484259"/>
    <w:rsid w:val="004904F5"/>
    <w:rsid w:val="00491FF4"/>
    <w:rsid w:val="00492AB4"/>
    <w:rsid w:val="00494C0F"/>
    <w:rsid w:val="004A1AAA"/>
    <w:rsid w:val="004B3438"/>
    <w:rsid w:val="004B55F5"/>
    <w:rsid w:val="004B624B"/>
    <w:rsid w:val="004B6C59"/>
    <w:rsid w:val="004C0A32"/>
    <w:rsid w:val="004C4F82"/>
    <w:rsid w:val="004E1D02"/>
    <w:rsid w:val="004E57E3"/>
    <w:rsid w:val="004F0B90"/>
    <w:rsid w:val="004F0CBE"/>
    <w:rsid w:val="004F2DD2"/>
    <w:rsid w:val="004F5442"/>
    <w:rsid w:val="004F548D"/>
    <w:rsid w:val="0050249E"/>
    <w:rsid w:val="005048CB"/>
    <w:rsid w:val="00504FB4"/>
    <w:rsid w:val="0050526A"/>
    <w:rsid w:val="00507A23"/>
    <w:rsid w:val="005125E9"/>
    <w:rsid w:val="00517088"/>
    <w:rsid w:val="00522E37"/>
    <w:rsid w:val="00524ED5"/>
    <w:rsid w:val="00535FBE"/>
    <w:rsid w:val="00541B64"/>
    <w:rsid w:val="00543F54"/>
    <w:rsid w:val="005447FE"/>
    <w:rsid w:val="00545B7A"/>
    <w:rsid w:val="005524BC"/>
    <w:rsid w:val="005530A6"/>
    <w:rsid w:val="00557E8F"/>
    <w:rsid w:val="005638EB"/>
    <w:rsid w:val="005649BF"/>
    <w:rsid w:val="00565491"/>
    <w:rsid w:val="0057168E"/>
    <w:rsid w:val="0057269B"/>
    <w:rsid w:val="0057537C"/>
    <w:rsid w:val="00577B2B"/>
    <w:rsid w:val="0058054E"/>
    <w:rsid w:val="005814E8"/>
    <w:rsid w:val="00581CA6"/>
    <w:rsid w:val="00584311"/>
    <w:rsid w:val="005850DB"/>
    <w:rsid w:val="00585E36"/>
    <w:rsid w:val="0059077E"/>
    <w:rsid w:val="00591B81"/>
    <w:rsid w:val="00596F9A"/>
    <w:rsid w:val="005978C6"/>
    <w:rsid w:val="005A079F"/>
    <w:rsid w:val="005A09A7"/>
    <w:rsid w:val="005A1251"/>
    <w:rsid w:val="005B7277"/>
    <w:rsid w:val="005D0307"/>
    <w:rsid w:val="005D1992"/>
    <w:rsid w:val="005D3A08"/>
    <w:rsid w:val="005D436C"/>
    <w:rsid w:val="005E21D5"/>
    <w:rsid w:val="005F29C6"/>
    <w:rsid w:val="005F3826"/>
    <w:rsid w:val="005F4D2E"/>
    <w:rsid w:val="005F574C"/>
    <w:rsid w:val="005F5DF9"/>
    <w:rsid w:val="005F6C17"/>
    <w:rsid w:val="00600011"/>
    <w:rsid w:val="006044F1"/>
    <w:rsid w:val="00604CF2"/>
    <w:rsid w:val="006051BD"/>
    <w:rsid w:val="00607F6D"/>
    <w:rsid w:val="006110D4"/>
    <w:rsid w:val="00612463"/>
    <w:rsid w:val="00620793"/>
    <w:rsid w:val="00620855"/>
    <w:rsid w:val="006221A1"/>
    <w:rsid w:val="00625DA5"/>
    <w:rsid w:val="006275BE"/>
    <w:rsid w:val="00631139"/>
    <w:rsid w:val="006349D6"/>
    <w:rsid w:val="00634F96"/>
    <w:rsid w:val="006354B6"/>
    <w:rsid w:val="00636B13"/>
    <w:rsid w:val="00640BEA"/>
    <w:rsid w:val="006416F5"/>
    <w:rsid w:val="00641DB4"/>
    <w:rsid w:val="00643373"/>
    <w:rsid w:val="0064492D"/>
    <w:rsid w:val="006451B6"/>
    <w:rsid w:val="00645342"/>
    <w:rsid w:val="00646A23"/>
    <w:rsid w:val="00652AAC"/>
    <w:rsid w:val="006549F4"/>
    <w:rsid w:val="00661E8A"/>
    <w:rsid w:val="00664E69"/>
    <w:rsid w:val="00675206"/>
    <w:rsid w:val="00680BB0"/>
    <w:rsid w:val="00680F33"/>
    <w:rsid w:val="00681EC4"/>
    <w:rsid w:val="006856B4"/>
    <w:rsid w:val="00694577"/>
    <w:rsid w:val="006A652A"/>
    <w:rsid w:val="006B4A63"/>
    <w:rsid w:val="006B5DD1"/>
    <w:rsid w:val="006B6319"/>
    <w:rsid w:val="006C0656"/>
    <w:rsid w:val="006C3CC8"/>
    <w:rsid w:val="006C656D"/>
    <w:rsid w:val="006D4982"/>
    <w:rsid w:val="006F12C3"/>
    <w:rsid w:val="006F53A3"/>
    <w:rsid w:val="006F7F69"/>
    <w:rsid w:val="00700F0B"/>
    <w:rsid w:val="00701916"/>
    <w:rsid w:val="00701E88"/>
    <w:rsid w:val="00707216"/>
    <w:rsid w:val="00707954"/>
    <w:rsid w:val="0071062E"/>
    <w:rsid w:val="00710D6E"/>
    <w:rsid w:val="00715084"/>
    <w:rsid w:val="00715253"/>
    <w:rsid w:val="00717086"/>
    <w:rsid w:val="00723ED7"/>
    <w:rsid w:val="007267B6"/>
    <w:rsid w:val="0073410B"/>
    <w:rsid w:val="0073561A"/>
    <w:rsid w:val="007600D1"/>
    <w:rsid w:val="0076023A"/>
    <w:rsid w:val="00763201"/>
    <w:rsid w:val="007644A3"/>
    <w:rsid w:val="007646CA"/>
    <w:rsid w:val="00771A2B"/>
    <w:rsid w:val="00775F2C"/>
    <w:rsid w:val="00781393"/>
    <w:rsid w:val="0078272D"/>
    <w:rsid w:val="007829CB"/>
    <w:rsid w:val="00785C2C"/>
    <w:rsid w:val="007A314E"/>
    <w:rsid w:val="007A6F09"/>
    <w:rsid w:val="007B1702"/>
    <w:rsid w:val="007B1FC1"/>
    <w:rsid w:val="007B3845"/>
    <w:rsid w:val="007B67E4"/>
    <w:rsid w:val="007C3684"/>
    <w:rsid w:val="007C385D"/>
    <w:rsid w:val="007C3E56"/>
    <w:rsid w:val="007C4234"/>
    <w:rsid w:val="007D09F2"/>
    <w:rsid w:val="007D4824"/>
    <w:rsid w:val="007D5426"/>
    <w:rsid w:val="007E5093"/>
    <w:rsid w:val="007F0346"/>
    <w:rsid w:val="007F0381"/>
    <w:rsid w:val="007F255B"/>
    <w:rsid w:val="0080218A"/>
    <w:rsid w:val="00802EF7"/>
    <w:rsid w:val="0080511D"/>
    <w:rsid w:val="00806E4E"/>
    <w:rsid w:val="00807564"/>
    <w:rsid w:val="00811E62"/>
    <w:rsid w:val="008158C7"/>
    <w:rsid w:val="00816924"/>
    <w:rsid w:val="00843354"/>
    <w:rsid w:val="00843507"/>
    <w:rsid w:val="00845DE6"/>
    <w:rsid w:val="00850A05"/>
    <w:rsid w:val="00850D44"/>
    <w:rsid w:val="00853337"/>
    <w:rsid w:val="00860CB0"/>
    <w:rsid w:val="00863C40"/>
    <w:rsid w:val="00876F6C"/>
    <w:rsid w:val="008777E9"/>
    <w:rsid w:val="00881DB1"/>
    <w:rsid w:val="00890BC2"/>
    <w:rsid w:val="00891248"/>
    <w:rsid w:val="008959CA"/>
    <w:rsid w:val="008B11B9"/>
    <w:rsid w:val="008B3416"/>
    <w:rsid w:val="008B38C2"/>
    <w:rsid w:val="008B4504"/>
    <w:rsid w:val="008B7669"/>
    <w:rsid w:val="008C1686"/>
    <w:rsid w:val="008C51CF"/>
    <w:rsid w:val="008D12DD"/>
    <w:rsid w:val="008D1540"/>
    <w:rsid w:val="008D2EFB"/>
    <w:rsid w:val="008D7B27"/>
    <w:rsid w:val="008E3FAE"/>
    <w:rsid w:val="008E6675"/>
    <w:rsid w:val="008E7435"/>
    <w:rsid w:val="008F0D88"/>
    <w:rsid w:val="008F1197"/>
    <w:rsid w:val="008F5140"/>
    <w:rsid w:val="00900E00"/>
    <w:rsid w:val="009018F0"/>
    <w:rsid w:val="00901E02"/>
    <w:rsid w:val="00902239"/>
    <w:rsid w:val="0090403B"/>
    <w:rsid w:val="009049C3"/>
    <w:rsid w:val="0091287F"/>
    <w:rsid w:val="00913E26"/>
    <w:rsid w:val="00917B26"/>
    <w:rsid w:val="00917B58"/>
    <w:rsid w:val="0092109C"/>
    <w:rsid w:val="00921283"/>
    <w:rsid w:val="0092274B"/>
    <w:rsid w:val="00924BF6"/>
    <w:rsid w:val="00925542"/>
    <w:rsid w:val="00925921"/>
    <w:rsid w:val="00925D8E"/>
    <w:rsid w:val="00931B35"/>
    <w:rsid w:val="0093362E"/>
    <w:rsid w:val="0093715E"/>
    <w:rsid w:val="00941B26"/>
    <w:rsid w:val="009437A6"/>
    <w:rsid w:val="00945193"/>
    <w:rsid w:val="00945896"/>
    <w:rsid w:val="009545AF"/>
    <w:rsid w:val="0095509F"/>
    <w:rsid w:val="009574EE"/>
    <w:rsid w:val="00961C62"/>
    <w:rsid w:val="00962BD9"/>
    <w:rsid w:val="009659B5"/>
    <w:rsid w:val="00970724"/>
    <w:rsid w:val="00983554"/>
    <w:rsid w:val="00984EE6"/>
    <w:rsid w:val="0099369C"/>
    <w:rsid w:val="009972CF"/>
    <w:rsid w:val="009A05BA"/>
    <w:rsid w:val="009A2224"/>
    <w:rsid w:val="009A4D71"/>
    <w:rsid w:val="009A604B"/>
    <w:rsid w:val="009A7B5E"/>
    <w:rsid w:val="009B02CF"/>
    <w:rsid w:val="009B1C7E"/>
    <w:rsid w:val="009B6935"/>
    <w:rsid w:val="009C0B84"/>
    <w:rsid w:val="009C144E"/>
    <w:rsid w:val="009C52F3"/>
    <w:rsid w:val="009D2013"/>
    <w:rsid w:val="009D2BAB"/>
    <w:rsid w:val="009D2BD5"/>
    <w:rsid w:val="009E60A3"/>
    <w:rsid w:val="009F1B70"/>
    <w:rsid w:val="009F2304"/>
    <w:rsid w:val="009F35E8"/>
    <w:rsid w:val="009F3E0E"/>
    <w:rsid w:val="009F563A"/>
    <w:rsid w:val="009F5818"/>
    <w:rsid w:val="009F5B09"/>
    <w:rsid w:val="009F7FEB"/>
    <w:rsid w:val="00A00CCB"/>
    <w:rsid w:val="00A010E5"/>
    <w:rsid w:val="00A066DD"/>
    <w:rsid w:val="00A100DC"/>
    <w:rsid w:val="00A135A8"/>
    <w:rsid w:val="00A157DD"/>
    <w:rsid w:val="00A2016B"/>
    <w:rsid w:val="00A21E9E"/>
    <w:rsid w:val="00A23ADB"/>
    <w:rsid w:val="00A274EA"/>
    <w:rsid w:val="00A345A9"/>
    <w:rsid w:val="00A35A48"/>
    <w:rsid w:val="00A42D8C"/>
    <w:rsid w:val="00A43812"/>
    <w:rsid w:val="00A530BE"/>
    <w:rsid w:val="00A64E7F"/>
    <w:rsid w:val="00A67AF8"/>
    <w:rsid w:val="00A67EC1"/>
    <w:rsid w:val="00A76396"/>
    <w:rsid w:val="00A778DD"/>
    <w:rsid w:val="00A81A46"/>
    <w:rsid w:val="00A90536"/>
    <w:rsid w:val="00A905AC"/>
    <w:rsid w:val="00A93AAD"/>
    <w:rsid w:val="00AA2297"/>
    <w:rsid w:val="00AA41F0"/>
    <w:rsid w:val="00AA6B4F"/>
    <w:rsid w:val="00AB10BF"/>
    <w:rsid w:val="00AB6417"/>
    <w:rsid w:val="00AC213E"/>
    <w:rsid w:val="00AC4F75"/>
    <w:rsid w:val="00AE4AA9"/>
    <w:rsid w:val="00AE4C49"/>
    <w:rsid w:val="00AE7314"/>
    <w:rsid w:val="00B012BD"/>
    <w:rsid w:val="00B03A61"/>
    <w:rsid w:val="00B045D6"/>
    <w:rsid w:val="00B0666A"/>
    <w:rsid w:val="00B104A4"/>
    <w:rsid w:val="00B15353"/>
    <w:rsid w:val="00B2075F"/>
    <w:rsid w:val="00B20DFB"/>
    <w:rsid w:val="00B22E8A"/>
    <w:rsid w:val="00B3601A"/>
    <w:rsid w:val="00B44898"/>
    <w:rsid w:val="00B50451"/>
    <w:rsid w:val="00B50FD5"/>
    <w:rsid w:val="00B51C01"/>
    <w:rsid w:val="00B521CC"/>
    <w:rsid w:val="00B52FBB"/>
    <w:rsid w:val="00B53328"/>
    <w:rsid w:val="00B574E9"/>
    <w:rsid w:val="00B6570D"/>
    <w:rsid w:val="00B75FE7"/>
    <w:rsid w:val="00B768B8"/>
    <w:rsid w:val="00B773B8"/>
    <w:rsid w:val="00B811BF"/>
    <w:rsid w:val="00B86C76"/>
    <w:rsid w:val="00B948F2"/>
    <w:rsid w:val="00B954ED"/>
    <w:rsid w:val="00BA14E2"/>
    <w:rsid w:val="00BA22C4"/>
    <w:rsid w:val="00BA2EE2"/>
    <w:rsid w:val="00BA4CBA"/>
    <w:rsid w:val="00BA6044"/>
    <w:rsid w:val="00BB38DB"/>
    <w:rsid w:val="00BB4A54"/>
    <w:rsid w:val="00BB5C4E"/>
    <w:rsid w:val="00BB6117"/>
    <w:rsid w:val="00BC3D19"/>
    <w:rsid w:val="00BC4042"/>
    <w:rsid w:val="00BC47BA"/>
    <w:rsid w:val="00BD3DB0"/>
    <w:rsid w:val="00BE2E81"/>
    <w:rsid w:val="00BE3979"/>
    <w:rsid w:val="00BE4F0E"/>
    <w:rsid w:val="00BF11AE"/>
    <w:rsid w:val="00BF2028"/>
    <w:rsid w:val="00BF25CC"/>
    <w:rsid w:val="00BF49D4"/>
    <w:rsid w:val="00BF682B"/>
    <w:rsid w:val="00C04C1E"/>
    <w:rsid w:val="00C112A6"/>
    <w:rsid w:val="00C11458"/>
    <w:rsid w:val="00C2089E"/>
    <w:rsid w:val="00C21654"/>
    <w:rsid w:val="00C268F0"/>
    <w:rsid w:val="00C27800"/>
    <w:rsid w:val="00C30730"/>
    <w:rsid w:val="00C35BFE"/>
    <w:rsid w:val="00C36A05"/>
    <w:rsid w:val="00C40CD4"/>
    <w:rsid w:val="00C41589"/>
    <w:rsid w:val="00C431A0"/>
    <w:rsid w:val="00C4427C"/>
    <w:rsid w:val="00C5657C"/>
    <w:rsid w:val="00C61746"/>
    <w:rsid w:val="00C623FB"/>
    <w:rsid w:val="00C63C06"/>
    <w:rsid w:val="00C655A0"/>
    <w:rsid w:val="00C676EE"/>
    <w:rsid w:val="00C745AC"/>
    <w:rsid w:val="00C747EC"/>
    <w:rsid w:val="00C74E22"/>
    <w:rsid w:val="00C830FD"/>
    <w:rsid w:val="00C84B76"/>
    <w:rsid w:val="00C867B5"/>
    <w:rsid w:val="00C8772B"/>
    <w:rsid w:val="00C92FF9"/>
    <w:rsid w:val="00CA343E"/>
    <w:rsid w:val="00CB3CA3"/>
    <w:rsid w:val="00CB7E53"/>
    <w:rsid w:val="00CC0F8D"/>
    <w:rsid w:val="00CC1823"/>
    <w:rsid w:val="00CC2B2C"/>
    <w:rsid w:val="00CC43E4"/>
    <w:rsid w:val="00CC4D65"/>
    <w:rsid w:val="00CC5097"/>
    <w:rsid w:val="00CC64D1"/>
    <w:rsid w:val="00CC7E5F"/>
    <w:rsid w:val="00CD0306"/>
    <w:rsid w:val="00CD2365"/>
    <w:rsid w:val="00CD511C"/>
    <w:rsid w:val="00CE4DFB"/>
    <w:rsid w:val="00CE5E05"/>
    <w:rsid w:val="00CE69F3"/>
    <w:rsid w:val="00CE719C"/>
    <w:rsid w:val="00CF3C1A"/>
    <w:rsid w:val="00CF56C3"/>
    <w:rsid w:val="00CF5ECC"/>
    <w:rsid w:val="00D0187A"/>
    <w:rsid w:val="00D055B3"/>
    <w:rsid w:val="00D05D1A"/>
    <w:rsid w:val="00D10CB7"/>
    <w:rsid w:val="00D1428E"/>
    <w:rsid w:val="00D14350"/>
    <w:rsid w:val="00D216BD"/>
    <w:rsid w:val="00D21A79"/>
    <w:rsid w:val="00D276AC"/>
    <w:rsid w:val="00D33D2D"/>
    <w:rsid w:val="00D3462F"/>
    <w:rsid w:val="00D351D4"/>
    <w:rsid w:val="00D35BB2"/>
    <w:rsid w:val="00D37D1E"/>
    <w:rsid w:val="00D41422"/>
    <w:rsid w:val="00D44AA5"/>
    <w:rsid w:val="00D50139"/>
    <w:rsid w:val="00D56D6E"/>
    <w:rsid w:val="00D60141"/>
    <w:rsid w:val="00D62489"/>
    <w:rsid w:val="00D66B25"/>
    <w:rsid w:val="00D75994"/>
    <w:rsid w:val="00D86277"/>
    <w:rsid w:val="00D87B96"/>
    <w:rsid w:val="00D93CD5"/>
    <w:rsid w:val="00D94151"/>
    <w:rsid w:val="00D9586E"/>
    <w:rsid w:val="00D97209"/>
    <w:rsid w:val="00DB14F4"/>
    <w:rsid w:val="00DB4789"/>
    <w:rsid w:val="00DB5420"/>
    <w:rsid w:val="00DB7FB9"/>
    <w:rsid w:val="00DC6CBD"/>
    <w:rsid w:val="00DD0E55"/>
    <w:rsid w:val="00DE0B27"/>
    <w:rsid w:val="00DE0DAA"/>
    <w:rsid w:val="00DF01F8"/>
    <w:rsid w:val="00DF0E4D"/>
    <w:rsid w:val="00DF3DED"/>
    <w:rsid w:val="00DF5BE1"/>
    <w:rsid w:val="00DF618A"/>
    <w:rsid w:val="00E05517"/>
    <w:rsid w:val="00E0628E"/>
    <w:rsid w:val="00E07182"/>
    <w:rsid w:val="00E07B2F"/>
    <w:rsid w:val="00E205E5"/>
    <w:rsid w:val="00E2238C"/>
    <w:rsid w:val="00E24E3B"/>
    <w:rsid w:val="00E279BD"/>
    <w:rsid w:val="00E417C0"/>
    <w:rsid w:val="00E424D1"/>
    <w:rsid w:val="00E47224"/>
    <w:rsid w:val="00E475CD"/>
    <w:rsid w:val="00E53F75"/>
    <w:rsid w:val="00E55B9B"/>
    <w:rsid w:val="00E62C18"/>
    <w:rsid w:val="00E673BF"/>
    <w:rsid w:val="00E72BA6"/>
    <w:rsid w:val="00E733C3"/>
    <w:rsid w:val="00E74678"/>
    <w:rsid w:val="00E81DCB"/>
    <w:rsid w:val="00E83B74"/>
    <w:rsid w:val="00E86725"/>
    <w:rsid w:val="00E87501"/>
    <w:rsid w:val="00E918F7"/>
    <w:rsid w:val="00E9243F"/>
    <w:rsid w:val="00E92C57"/>
    <w:rsid w:val="00E94D55"/>
    <w:rsid w:val="00EA1554"/>
    <w:rsid w:val="00EB0343"/>
    <w:rsid w:val="00EB306E"/>
    <w:rsid w:val="00EB4519"/>
    <w:rsid w:val="00EC0987"/>
    <w:rsid w:val="00EC42BC"/>
    <w:rsid w:val="00EC7301"/>
    <w:rsid w:val="00ED1EE9"/>
    <w:rsid w:val="00ED4386"/>
    <w:rsid w:val="00ED70F9"/>
    <w:rsid w:val="00ED79AA"/>
    <w:rsid w:val="00EE0D0B"/>
    <w:rsid w:val="00EE1581"/>
    <w:rsid w:val="00EE5866"/>
    <w:rsid w:val="00EE5875"/>
    <w:rsid w:val="00EF0543"/>
    <w:rsid w:val="00EF384D"/>
    <w:rsid w:val="00EF3CCB"/>
    <w:rsid w:val="00EF64AA"/>
    <w:rsid w:val="00F000AA"/>
    <w:rsid w:val="00F04607"/>
    <w:rsid w:val="00F11196"/>
    <w:rsid w:val="00F1327C"/>
    <w:rsid w:val="00F233AA"/>
    <w:rsid w:val="00F24DB1"/>
    <w:rsid w:val="00F271D5"/>
    <w:rsid w:val="00F273EF"/>
    <w:rsid w:val="00F27E86"/>
    <w:rsid w:val="00F32A4E"/>
    <w:rsid w:val="00F346EE"/>
    <w:rsid w:val="00F36954"/>
    <w:rsid w:val="00F37659"/>
    <w:rsid w:val="00F37C16"/>
    <w:rsid w:val="00F41BF5"/>
    <w:rsid w:val="00F4736E"/>
    <w:rsid w:val="00F57CC2"/>
    <w:rsid w:val="00F606A8"/>
    <w:rsid w:val="00F64982"/>
    <w:rsid w:val="00F66D72"/>
    <w:rsid w:val="00F73458"/>
    <w:rsid w:val="00F7390D"/>
    <w:rsid w:val="00F75470"/>
    <w:rsid w:val="00F75F25"/>
    <w:rsid w:val="00F76F0C"/>
    <w:rsid w:val="00F840FC"/>
    <w:rsid w:val="00F84399"/>
    <w:rsid w:val="00F907C2"/>
    <w:rsid w:val="00F91167"/>
    <w:rsid w:val="00FA1E23"/>
    <w:rsid w:val="00FA1F3E"/>
    <w:rsid w:val="00FA230C"/>
    <w:rsid w:val="00FA6FC5"/>
    <w:rsid w:val="00FB037E"/>
    <w:rsid w:val="00FB16CD"/>
    <w:rsid w:val="00FB46A5"/>
    <w:rsid w:val="00FD19F2"/>
    <w:rsid w:val="00FD2C01"/>
    <w:rsid w:val="00FD2DAF"/>
    <w:rsid w:val="00FD4E04"/>
    <w:rsid w:val="00FE072A"/>
    <w:rsid w:val="00FE1C7C"/>
    <w:rsid w:val="00FE6E04"/>
    <w:rsid w:val="00FF1338"/>
    <w:rsid w:val="00FF4695"/>
    <w:rsid w:val="00FF47A1"/>
    <w:rsid w:val="00FF488E"/>
    <w:rsid w:val="00FF51E1"/>
    <w:rsid w:val="0D4F0F37"/>
    <w:rsid w:val="0E255F50"/>
    <w:rsid w:val="2B3F5FF9"/>
    <w:rsid w:val="6C0DF487"/>
    <w:rsid w:val="6F3C1F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C61CDF"/>
  <w15:docId w15:val="{2B162D47-C00F-4F4D-9C9B-ECA3C2B2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NichtaufgelsteErwhnung">
    <w:name w:val="Unresolved Mention"/>
    <w:basedOn w:val="Absatz-Standardschriftart"/>
    <w:uiPriority w:val="99"/>
    <w:semiHidden/>
    <w:unhideWhenUsed/>
    <w:rsid w:val="00E205E5"/>
    <w:rPr>
      <w:color w:val="605E5C"/>
      <w:shd w:val="clear" w:color="auto" w:fill="E1DFDD"/>
    </w:r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customStyle="1" w:styleId="CommentReference">
    <w:name w:val="Comment Reference"/>
    <w:basedOn w:val="Absatz-Standardschriftart"/>
    <w:uiPriority w:val="99"/>
    <w:semiHidden/>
    <w:unhideWhenUsed/>
    <w:rsid w:val="000B4187"/>
    <w:rPr>
      <w:sz w:val="16"/>
      <w:szCs w:val="16"/>
    </w:rPr>
  </w:style>
  <w:style w:type="character" w:styleId="Erwhnung">
    <w:name w:val="Mention"/>
    <w:basedOn w:val="Absatz-Standardschriftart"/>
    <w:uiPriority w:val="99"/>
    <w:unhideWhenUsed/>
    <w:rsid w:val="009574EE"/>
    <w:rPr>
      <w:color w:val="2B579A"/>
      <w:shd w:val="clear" w:color="auto" w:fill="E1DFDD"/>
    </w:rPr>
  </w:style>
  <w:style w:type="character" w:customStyle="1" w:styleId="KommentartextZchn1">
    <w:name w:val="Kommentartext Zchn1"/>
    <w:basedOn w:val="Absatz-Standardschriftart"/>
    <w:uiPriority w:val="99"/>
    <w:rsid w:val="00B51C01"/>
    <w:rPr>
      <w:sz w:val="20"/>
      <w:szCs w:val="20"/>
    </w:rPr>
  </w:style>
  <w:style w:type="character" w:customStyle="1" w:styleId="berschrift2Zchn">
    <w:name w:val="Überschrift 2 Zchn"/>
    <w:basedOn w:val="Absatz-Standardschriftart"/>
    <w:uiPriority w:val="99"/>
    <w:semiHidden/>
    <w:locked/>
    <w:rsid w:val="00C40CD4"/>
    <w:rPr>
      <w:rFonts w:ascii="Cambria" w:hAnsi="Cambria" w:cs="Times New Roman"/>
      <w:b/>
      <w:bCs/>
      <w:i/>
      <w:iCs/>
      <w:sz w:val="28"/>
      <w:szCs w:val="28"/>
    </w:rPr>
  </w:style>
  <w:style w:type="character" w:customStyle="1" w:styleId="TextkrperZchn">
    <w:name w:val="Textkörper Zchn"/>
    <w:basedOn w:val="Absatz-Standardschriftart"/>
    <w:uiPriority w:val="99"/>
    <w:semiHidden/>
    <w:locked/>
    <w:rsid w:val="00C40CD4"/>
    <w:rPr>
      <w:rFonts w:cs="Times New Roman"/>
      <w:sz w:val="24"/>
      <w:szCs w:val="24"/>
    </w:rPr>
  </w:style>
  <w:style w:type="character" w:customStyle="1" w:styleId="Textkrper2Zchn">
    <w:name w:val="Textkörper 2 Zchn"/>
    <w:basedOn w:val="Absatz-Standardschriftart"/>
    <w:uiPriority w:val="99"/>
    <w:semiHidden/>
    <w:locked/>
    <w:rsid w:val="00C40CD4"/>
    <w:rPr>
      <w:rFonts w:cs="Times New Roman"/>
      <w:sz w:val="24"/>
      <w:szCs w:val="24"/>
    </w:rPr>
  </w:style>
  <w:style w:type="character" w:customStyle="1" w:styleId="SprechblasentextZchn">
    <w:name w:val="Sprechblasentext Zchn"/>
    <w:basedOn w:val="Absatz-Standardschriftart"/>
    <w:uiPriority w:val="99"/>
    <w:semiHidden/>
    <w:locked/>
    <w:rsid w:val="00C40CD4"/>
    <w:rPr>
      <w:rFonts w:cs="Times New Roman"/>
      <w:sz w:val="2"/>
    </w:rPr>
  </w:style>
  <w:style w:type="character" w:customStyle="1" w:styleId="TitelZchn">
    <w:name w:val="Titel Zchn"/>
    <w:basedOn w:val="Absatz-Standardschriftart"/>
    <w:uiPriority w:val="99"/>
    <w:locked/>
    <w:rsid w:val="00C40CD4"/>
    <w:rPr>
      <w:rFonts w:ascii="Lucida Sans Unicode" w:hAnsi="Lucida Sans Unicode" w:cs="Times New Roman"/>
      <w:color w:val="343434"/>
      <w:spacing w:val="5"/>
      <w:kern w:val="28"/>
      <w:sz w:val="52"/>
      <w:szCs w:val="52"/>
    </w:rPr>
  </w:style>
  <w:style w:type="character" w:customStyle="1" w:styleId="KopfzeileZchn">
    <w:name w:val="Kopfzeile Zchn"/>
    <w:basedOn w:val="Absatz-Standardschriftart"/>
    <w:uiPriority w:val="99"/>
    <w:semiHidden/>
    <w:locked/>
    <w:rsid w:val="00C40CD4"/>
    <w:rPr>
      <w:rFonts w:cs="Times New Roman"/>
      <w:sz w:val="24"/>
      <w:szCs w:val="24"/>
    </w:rPr>
  </w:style>
  <w:style w:type="character" w:customStyle="1" w:styleId="FuzeileZchn">
    <w:name w:val="Fußzeile Zchn"/>
    <w:basedOn w:val="Absatz-Standardschriftart"/>
    <w:uiPriority w:val="99"/>
    <w:locked/>
    <w:rsid w:val="00C40CD4"/>
    <w:rPr>
      <w:rFonts w:cs="Times New Roman"/>
      <w:sz w:val="24"/>
      <w:szCs w:val="24"/>
    </w:rPr>
  </w:style>
  <w:style w:type="character" w:customStyle="1" w:styleId="KommentartextZchn">
    <w:name w:val="Kommentartext Zchn"/>
    <w:basedOn w:val="Absatz-Standardschriftart"/>
    <w:uiPriority w:val="99"/>
    <w:rsid w:val="00C40CD4"/>
    <w:rPr>
      <w:sz w:val="20"/>
      <w:szCs w:val="20"/>
    </w:rPr>
  </w:style>
  <w:style w:type="character" w:customStyle="1" w:styleId="KommentarthemaZchn">
    <w:name w:val="Kommentarthema Zchn"/>
    <w:basedOn w:val="KommentartextZchn"/>
    <w:uiPriority w:val="99"/>
    <w:semiHidden/>
    <w:rsid w:val="00C40CD4"/>
    <w:rPr>
      <w:b/>
      <w:bCs/>
      <w:sz w:val="20"/>
      <w:szCs w:val="20"/>
    </w:rPr>
  </w:style>
  <w:style w:type="paragraph" w:styleId="Kommentartext">
    <w:name w:val="annotation text"/>
    <w:basedOn w:val="Standard"/>
    <w:link w:val="KommentartextZchn2"/>
    <w:uiPriority w:val="99"/>
    <w:semiHidden/>
    <w:unhideWhenUsed/>
    <w:rPr>
      <w:sz w:val="20"/>
      <w:szCs w:val="20"/>
    </w:rPr>
  </w:style>
  <w:style w:type="character" w:customStyle="1" w:styleId="KommentartextZchn2">
    <w:name w:val="Kommentartext Zchn2"/>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1"/>
    <w:uiPriority w:val="99"/>
    <w:unhideWhenUsed/>
    <w:rsid w:val="00F907C2"/>
    <w:pPr>
      <w:tabs>
        <w:tab w:val="center" w:pos="4536"/>
        <w:tab w:val="right" w:pos="9072"/>
      </w:tabs>
    </w:pPr>
  </w:style>
  <w:style w:type="character" w:customStyle="1" w:styleId="KopfzeileZchn1">
    <w:name w:val="Kopfzeile Zchn1"/>
    <w:basedOn w:val="Absatz-Standardschriftart"/>
    <w:link w:val="Kopfzeile"/>
    <w:uiPriority w:val="99"/>
    <w:rsid w:val="00F907C2"/>
    <w:rPr>
      <w:sz w:val="24"/>
      <w:szCs w:val="24"/>
    </w:rPr>
  </w:style>
  <w:style w:type="paragraph" w:styleId="Fuzeile">
    <w:name w:val="footer"/>
    <w:basedOn w:val="Standard"/>
    <w:link w:val="FuzeileZchn1"/>
    <w:uiPriority w:val="99"/>
    <w:unhideWhenUsed/>
    <w:rsid w:val="00F907C2"/>
    <w:pPr>
      <w:tabs>
        <w:tab w:val="center" w:pos="4536"/>
        <w:tab w:val="right" w:pos="9072"/>
      </w:tabs>
    </w:pPr>
  </w:style>
  <w:style w:type="character" w:customStyle="1" w:styleId="FuzeileZchn1">
    <w:name w:val="Fußzeile Zchn1"/>
    <w:basedOn w:val="Absatz-Standardschriftart"/>
    <w:link w:val="Fuzeile"/>
    <w:uiPriority w:val="99"/>
    <w:rsid w:val="00F907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4E8A8321EAC77429F0AE51B49A58B02" ma:contentTypeVersion="13" ma:contentTypeDescription="Ein neues Dokument erstellen." ma:contentTypeScope="" ma:versionID="aca26b8dd595946ccb349cbecf50100e">
  <xsd:schema xmlns:xsd="http://www.w3.org/2001/XMLSchema" xmlns:xs="http://www.w3.org/2001/XMLSchema" xmlns:p="http://schemas.microsoft.com/office/2006/metadata/properties" xmlns:ns2="2d076682-27a3-4304-b527-b918986f088e" xmlns:ns3="fe9ae99a-0496-4898-989f-e27614239e60" targetNamespace="http://schemas.microsoft.com/office/2006/metadata/properties" ma:root="true" ma:fieldsID="a7b013a03dda08a9ebf2cfc056a8426e" ns2:_="" ns3:_="">
    <xsd:import namespace="2d076682-27a3-4304-b527-b918986f088e"/>
    <xsd:import namespace="fe9ae99a-0496-4898-989f-e27614239e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76682-27a3-4304-b527-b918986f0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6cf23042-53e8-4101-8b41-0a7ba41cbd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ae99a-0496-4898-989f-e27614239e6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2c65a8e2-f275-44e0-b582-92c6550fc014}" ma:internalName="TaxCatchAll" ma:showField="CatchAllData" ma:web="fe9ae99a-0496-4898-989f-e27614239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e9ae99a-0496-4898-989f-e27614239e60">
      <UserInfo>
        <DisplayName/>
        <AccountId xsi:nil="true"/>
        <AccountType/>
      </UserInfo>
    </SharedWithUsers>
    <TaxCatchAll xmlns="fe9ae99a-0496-4898-989f-e27614239e60" xsi:nil="true"/>
    <lcf76f155ced4ddcb4097134ff3c332f xmlns="2d076682-27a3-4304-b527-b918986f088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98150-249E-4FDA-ACD8-4F73EF0E3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76682-27a3-4304-b527-b918986f088e"/>
    <ds:schemaRef ds:uri="fe9ae99a-0496-4898-989f-e27614239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8DF3E8-E1F3-4E2C-88AF-CC23C725C8BD}">
  <ds:schemaRefs>
    <ds:schemaRef ds:uri="http://schemas.microsoft.com/office/2006/metadata/properties"/>
    <ds:schemaRef ds:uri="http://schemas.microsoft.com/office/infopath/2007/PartnerControls"/>
    <ds:schemaRef ds:uri="fe9ae99a-0496-4898-989f-e27614239e60"/>
    <ds:schemaRef ds:uri="2d076682-27a3-4304-b527-b918986f088e"/>
  </ds:schemaRefs>
</ds:datastoreItem>
</file>

<file path=customXml/itemProps3.xml><?xml version="1.0" encoding="utf-8"?>
<ds:datastoreItem xmlns:ds="http://schemas.openxmlformats.org/officeDocument/2006/customXml" ds:itemID="{C5750004-9B09-46F0-A341-C72664138E91}">
  <ds:schemaRefs>
    <ds:schemaRef ds:uri="http://schemas.microsoft.com/sharepoint/v3/contenttype/forms"/>
  </ds:schemaRefs>
</ds:datastoreItem>
</file>

<file path=docMetadata/LabelInfo.xml><?xml version="1.0" encoding="utf-8"?>
<clbl:labelList xmlns:clbl="http://schemas.microsoft.com/office/2020/mipLabelMetadata">
  <clbl:label id="{2a2b3b7c-2102-4caf-911e-f24595387c50}" enabled="0" method="" siteId="{2a2b3b7c-2102-4caf-911e-f24595387c5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1191</Words>
  <Characters>7510</Characters>
  <Application>Microsoft Office Word</Application>
  <DocSecurity>0</DocSecurity>
  <Lines>62</Lines>
  <Paragraphs>17</Paragraphs>
  <ScaleCrop>false</ScaleCrop>
  <Company>Klinikum der Universitaet Muenchen</Company>
  <LinksUpToDate>false</LinksUpToDate>
  <CharactersWithSpaces>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Massenkeil</dc:creator>
  <cp:keywords/>
  <cp:lastModifiedBy>Caroline Rupprecht</cp:lastModifiedBy>
  <cp:revision>5</cp:revision>
  <cp:lastPrinted>2012-10-08T12:17:00Z</cp:lastPrinted>
  <dcterms:created xsi:type="dcterms:W3CDTF">2026-09-03T15:08:00Z</dcterms:created>
  <dcterms:modified xsi:type="dcterms:W3CDTF">2026-09-03T16:09:00Z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0x01010054E8A8321EAC77429F0AE51B49A58B02</vt:lpwstr>
  </property>
  <property fmtid="{D5CDD505-2E9C-101B-9397-08002B2CF9AE}" pid="3" name="Order">
    <vt:r8>60600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Franchise">
    <vt:lpwstr>2;#N/A|1ef16579-4c18-4c73-b2ad-85016834b037</vt:lpwstr>
  </property>
  <property fmtid="{D5CDD505-2E9C-101B-9397-08002B2CF9AE}" pid="9" name="Product">
    <vt:lpwstr>3;#No Product|648e1d64-3853-4d3b-b3bc-1c141b443de5</vt:lpwstr>
  </property>
  <property fmtid="{D5CDD505-2E9C-101B-9397-08002B2CF9AE}" pid="10" name="Organisationtype">
    <vt:lpwstr>1;#Department|1a44dff5-6dad-48ee-a3ca-7a2eca55a50c</vt:lpwstr>
  </property>
  <property fmtid="{D5CDD505-2E9C-101B-9397-08002B2CF9AE}" pid="11" name="docLang">
    <vt:lpwstr>de</vt:lpwstr>
  </property>
</Properties>
</file>