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42848E" w14:textId="77777777">
        <w:tc>
          <w:tcPr>
            <w:tcW w:w="9212" w:type="dxa"/>
          </w:tcPr>
          <w:p w14:paraId="3856C14D" w14:textId="77777777" w:rsidR="008E6675" w:rsidRPr="005638EB" w:rsidRDefault="008E6675" w:rsidP="002005AF">
            <w:pPr>
              <w:rPr>
                <w:rFonts w:ascii="Arial Narrow" w:hAnsi="Arial Narrow"/>
                <w:b/>
              </w:rPr>
            </w:pPr>
            <w:r w:rsidRPr="005638EB">
              <w:rPr>
                <w:rFonts w:ascii="Arial Narrow" w:hAnsi="Arial Narrow"/>
                <w:b/>
                <w:sz w:val="22"/>
              </w:rPr>
              <w:t xml:space="preserve">Haben Sie externe Hilfestellungen </w:t>
            </w:r>
            <w:r w:rsidR="002333FF">
              <w:rPr>
                <w:rFonts w:ascii="Arial Narrow" w:hAnsi="Arial Narrow"/>
                <w:b/>
                <w:sz w:val="22"/>
              </w:rPr>
              <w:t xml:space="preserve">zum Ausfüllen der Formblätter </w:t>
            </w:r>
            <w:r w:rsidRPr="005638EB">
              <w:rPr>
                <w:rFonts w:ascii="Arial Narrow" w:hAnsi="Arial Narrow"/>
                <w:b/>
                <w:sz w:val="22"/>
              </w:rPr>
              <w:t>in Anspruch genommen</w:t>
            </w:r>
            <w:r w:rsidR="002005AF">
              <w:rPr>
                <w:rFonts w:ascii="Arial Narrow" w:hAnsi="Arial Narrow"/>
                <w:b/>
                <w:sz w:val="22"/>
              </w:rPr>
              <w:t>?</w:t>
            </w:r>
            <w:r w:rsidRPr="005638EB">
              <w:rPr>
                <w:rFonts w:ascii="Arial Narrow" w:hAnsi="Arial Narrow"/>
                <w:b/>
                <w:sz w:val="22"/>
              </w:rPr>
              <w:t xml:space="preserve">  Wenn ja, bitte geben Sie an, welche Hilfestellung</w:t>
            </w:r>
            <w:r w:rsidR="002005AF">
              <w:rPr>
                <w:rFonts w:ascii="Arial Narrow" w:hAnsi="Arial Narrow"/>
                <w:b/>
                <w:sz w:val="22"/>
              </w:rPr>
              <w:t xml:space="preserve"> Sie in Anspruch genommen haben</w:t>
            </w:r>
            <w:r w:rsidRPr="005638EB">
              <w:rPr>
                <w:rFonts w:ascii="Arial Narrow" w:hAnsi="Arial Narrow"/>
                <w:b/>
                <w:sz w:val="22"/>
              </w:rPr>
              <w:t>?</w:t>
            </w:r>
          </w:p>
        </w:tc>
      </w:tr>
      <w:tr w:rsidR="008E6675" w:rsidRPr="005638EB" w14:paraId="2315EEB9" w14:textId="77777777">
        <w:tc>
          <w:tcPr>
            <w:tcW w:w="9212" w:type="dxa"/>
          </w:tcPr>
          <w:p w14:paraId="59E436C4" w14:textId="35C2A741" w:rsidR="008E6675" w:rsidRPr="005638EB" w:rsidRDefault="000B5149" w:rsidP="005638EB">
            <w:pPr>
              <w:rPr>
                <w:rFonts w:ascii="Arial Narrow" w:hAnsi="Arial Narrow"/>
              </w:rPr>
            </w:pPr>
            <w:r w:rsidRPr="000B5149">
              <w:rPr>
                <w:rFonts w:ascii="Arial Narrow" w:hAnsi="Arial Narrow"/>
                <w:sz w:val="22"/>
              </w:rPr>
              <w:t>Dieser Antrag wurde durch d</w:t>
            </w:r>
            <w:r w:rsidR="001B1D3A">
              <w:rPr>
                <w:rFonts w:ascii="Arial Narrow" w:hAnsi="Arial Narrow"/>
                <w:sz w:val="22"/>
              </w:rPr>
              <w:t xml:space="preserve">en Hersteller </w:t>
            </w:r>
            <w:r w:rsidRPr="000B5149">
              <w:rPr>
                <w:rFonts w:ascii="Arial Narrow" w:hAnsi="Arial Narrow"/>
                <w:sz w:val="22"/>
              </w:rPr>
              <w:t>vorformuliert.</w:t>
            </w:r>
          </w:p>
        </w:tc>
      </w:tr>
    </w:tbl>
    <w:p w14:paraId="1B73E9CE" w14:textId="77777777" w:rsidR="008E6675" w:rsidRPr="005638EB" w:rsidRDefault="008E6675" w:rsidP="005638EB">
      <w:pPr>
        <w:rPr>
          <w:rFonts w:ascii="Arial Narrow" w:hAnsi="Arial Narrow"/>
        </w:rPr>
      </w:pPr>
    </w:p>
    <w:tbl>
      <w:tblPr>
        <w:tblStyle w:val="TableNormal1"/>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9DF06E3" w14:textId="77777777" w:rsidTr="000B5149">
        <w:tc>
          <w:tcPr>
            <w:tcW w:w="9212" w:type="dxa"/>
          </w:tcPr>
          <w:p w14:paraId="48DD38F6" w14:textId="62BF7CF8" w:rsidR="008E6675" w:rsidRPr="005638EB" w:rsidRDefault="008E6675" w:rsidP="005638EB">
            <w:pPr>
              <w:rPr>
                <w:rFonts w:ascii="Arial Narrow" w:hAnsi="Arial Narrow"/>
                <w:b/>
              </w:rPr>
            </w:pPr>
            <w:r w:rsidRPr="005638EB">
              <w:rPr>
                <w:rFonts w:ascii="Arial Narrow" w:hAnsi="Arial Narrow"/>
                <w:b/>
                <w:sz w:val="22"/>
              </w:rPr>
              <w:t>Angefragte Untersuchungs- und Beh</w:t>
            </w:r>
            <w:r w:rsidR="002333FF">
              <w:rPr>
                <w:rFonts w:ascii="Arial Narrow" w:hAnsi="Arial Narrow"/>
                <w:b/>
                <w:sz w:val="22"/>
              </w:rPr>
              <w:t>andlungsmethode</w:t>
            </w:r>
          </w:p>
        </w:tc>
      </w:tr>
      <w:tr w:rsidR="000B5149" w:rsidRPr="007F255B" w14:paraId="3534B4A0" w14:textId="77777777" w:rsidTr="000B5149">
        <w:tc>
          <w:tcPr>
            <w:tcW w:w="9212" w:type="dxa"/>
          </w:tcPr>
          <w:p w14:paraId="2C182448" w14:textId="65E2E9C5" w:rsidR="000B5149" w:rsidRPr="00CB18C7" w:rsidRDefault="00CB18C7" w:rsidP="000B5149">
            <w:pPr>
              <w:rPr>
                <w:rFonts w:ascii="Arial Narrow" w:hAnsi="Arial Narrow"/>
                <w:sz w:val="22"/>
              </w:rPr>
            </w:pPr>
            <w:r w:rsidRPr="00CB18C7">
              <w:rPr>
                <w:rFonts w:ascii="Arial Narrow" w:hAnsi="Arial Narrow"/>
                <w:sz w:val="22"/>
              </w:rPr>
              <w:t>Mirvetuximab-Soravtansin</w:t>
            </w:r>
          </w:p>
        </w:tc>
      </w:tr>
    </w:tbl>
    <w:p w14:paraId="42022921" w14:textId="77777777" w:rsidR="008E6675" w:rsidRPr="005638EB" w:rsidRDefault="008E6675" w:rsidP="005638EB">
      <w:pPr>
        <w:rPr>
          <w:rFonts w:ascii="Arial Narrow" w:hAnsi="Arial Narrow"/>
          <w:b/>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6B6F275" w14:textId="77777777">
        <w:tc>
          <w:tcPr>
            <w:tcW w:w="9212" w:type="dxa"/>
          </w:tcPr>
          <w:p w14:paraId="67F0AA02" w14:textId="4EF70D85" w:rsidR="008E6675" w:rsidRPr="005638EB" w:rsidRDefault="008E6675" w:rsidP="00596F9A">
            <w:pPr>
              <w:tabs>
                <w:tab w:val="left" w:pos="7465"/>
              </w:tabs>
              <w:rPr>
                <w:rFonts w:ascii="Arial Narrow" w:hAnsi="Arial Narrow"/>
                <w:b/>
              </w:rPr>
            </w:pPr>
            <w:r w:rsidRPr="005638EB">
              <w:rPr>
                <w:rFonts w:ascii="Arial Narrow" w:hAnsi="Arial Narrow"/>
                <w:b/>
                <w:sz w:val="22"/>
              </w:rPr>
              <w:t>Alternative Bezeichnung(en) der Methode</w:t>
            </w:r>
            <w:r>
              <w:rPr>
                <w:rFonts w:ascii="Arial Narrow" w:hAnsi="Arial Narrow"/>
                <w:b/>
                <w:sz w:val="22"/>
              </w:rPr>
              <w:tab/>
            </w:r>
          </w:p>
        </w:tc>
      </w:tr>
      <w:tr w:rsidR="008E6675" w:rsidRPr="005638EB" w14:paraId="6AA1CD49" w14:textId="77777777">
        <w:tc>
          <w:tcPr>
            <w:tcW w:w="9212" w:type="dxa"/>
          </w:tcPr>
          <w:p w14:paraId="03804348" w14:textId="522F74AD" w:rsidR="008E6675" w:rsidRPr="002E1E3F" w:rsidRDefault="00283741" w:rsidP="005638EB">
            <w:pPr>
              <w:rPr>
                <w:rFonts w:ascii="Arial Narrow" w:hAnsi="Arial Narrow"/>
              </w:rPr>
            </w:pPr>
            <w:r>
              <w:rPr>
                <w:rFonts w:ascii="Arial Narrow" w:hAnsi="Arial Narrow"/>
                <w:sz w:val="22"/>
              </w:rPr>
              <w:t>E</w:t>
            </w:r>
            <w:r w:rsidR="00A42398">
              <w:rPr>
                <w:rFonts w:ascii="Arial Narrow" w:hAnsi="Arial Narrow"/>
                <w:sz w:val="22"/>
              </w:rPr>
              <w:t>laher</w:t>
            </w:r>
            <w:r w:rsidR="00787CCE">
              <w:rPr>
                <w:rFonts w:ascii="Arial Narrow" w:hAnsi="Arial Narrow"/>
                <w:sz w:val="22"/>
              </w:rPr>
              <w:t>e</w:t>
            </w:r>
            <w:r w:rsidR="002E1E3F" w:rsidRPr="002E1E3F">
              <w:rPr>
                <w:rFonts w:ascii="Arial Narrow" w:hAnsi="Arial Narrow"/>
                <w:sz w:val="22"/>
              </w:rPr>
              <w:t>®</w:t>
            </w:r>
          </w:p>
        </w:tc>
      </w:tr>
    </w:tbl>
    <w:p w14:paraId="5C4D6932" w14:textId="77777777" w:rsidR="004C4F82" w:rsidRDefault="004C4F82"/>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4C4F82" w14:paraId="6FC43EE4" w14:textId="77777777" w:rsidTr="004C4F82">
        <w:tc>
          <w:tcPr>
            <w:tcW w:w="9212" w:type="dxa"/>
            <w:tcBorders>
              <w:top w:val="single" w:sz="4" w:space="0" w:color="auto"/>
              <w:left w:val="single" w:sz="4" w:space="0" w:color="auto"/>
              <w:bottom w:val="single" w:sz="4" w:space="0" w:color="auto"/>
              <w:right w:val="single" w:sz="4" w:space="0" w:color="auto"/>
            </w:tcBorders>
          </w:tcPr>
          <w:p w14:paraId="20C990C9" w14:textId="48FE42C0" w:rsidR="004C4F82" w:rsidRPr="004C4F82" w:rsidRDefault="004C4F82" w:rsidP="004C4F82">
            <w:pPr>
              <w:tabs>
                <w:tab w:val="left" w:pos="7465"/>
              </w:tabs>
              <w:rPr>
                <w:rFonts w:ascii="Arial Narrow" w:hAnsi="Arial Narrow"/>
                <w:b/>
                <w:sz w:val="22"/>
              </w:rPr>
            </w:pPr>
            <w:r w:rsidRPr="004C4F82">
              <w:rPr>
                <w:rFonts w:ascii="Arial Narrow" w:hAnsi="Arial Narrow"/>
                <w:b/>
                <w:sz w:val="22"/>
              </w:rPr>
              <w:t>Beruht die neue Untersuchungs- und Behandlungsmethode vollständig oder in Teilen auf dem Ei</w:t>
            </w:r>
            <w:r>
              <w:rPr>
                <w:rFonts w:ascii="Arial Narrow" w:hAnsi="Arial Narrow"/>
                <w:b/>
                <w:sz w:val="22"/>
              </w:rPr>
              <w:t>nsatz eines Medizinproduktes?</w:t>
            </w:r>
            <w:r w:rsidRPr="004C4F82">
              <w:rPr>
                <w:rFonts w:ascii="Arial Narrow" w:hAnsi="Arial Narrow"/>
                <w:b/>
                <w:sz w:val="22"/>
              </w:rPr>
              <w:tab/>
            </w:r>
          </w:p>
        </w:tc>
      </w:tr>
      <w:tr w:rsidR="004C4F82" w:rsidRPr="005638EB" w14:paraId="049FBCCE" w14:textId="77777777" w:rsidTr="004C4F82">
        <w:tc>
          <w:tcPr>
            <w:tcW w:w="9212" w:type="dxa"/>
            <w:tcBorders>
              <w:top w:val="single" w:sz="4" w:space="0" w:color="auto"/>
              <w:left w:val="single" w:sz="4" w:space="0" w:color="auto"/>
              <w:bottom w:val="single" w:sz="4" w:space="0" w:color="auto"/>
              <w:right w:val="single" w:sz="4" w:space="0" w:color="auto"/>
            </w:tcBorders>
          </w:tcPr>
          <w:p w14:paraId="5E4B2A39" w14:textId="07970563" w:rsidR="004C4F82" w:rsidRPr="002E1E3F" w:rsidRDefault="008B7669" w:rsidP="008B7669">
            <w:pPr>
              <w:rPr>
                <w:rFonts w:ascii="Arial Narrow" w:hAnsi="Arial Narrow"/>
                <w:sz w:val="22"/>
              </w:rPr>
            </w:pPr>
            <w:r w:rsidRPr="008B7669">
              <w:rPr>
                <w:rFonts w:ascii="Arial Narrow" w:hAnsi="Arial Narrow"/>
                <w:sz w:val="22"/>
              </w:rPr>
              <w:t>[</w:t>
            </w:r>
            <w:r w:rsidRPr="0036178C">
              <w:rPr>
                <w:rFonts w:ascii="Arial Narrow" w:hAnsi="Arial Narrow"/>
                <w:sz w:val="22"/>
                <w:highlight w:val="yellow"/>
              </w:rPr>
              <w:t>nein ankreuzen</w:t>
            </w:r>
            <w:r w:rsidRPr="008B7669">
              <w:rPr>
                <w:rFonts w:ascii="Arial Narrow" w:hAnsi="Arial Narrow"/>
                <w:sz w:val="22"/>
              </w:rPr>
              <w:t>]</w:t>
            </w:r>
          </w:p>
        </w:tc>
      </w:tr>
    </w:tbl>
    <w:p w14:paraId="7F1AD41E" w14:textId="77777777" w:rsidR="008E6675"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92AB4" w:rsidRPr="005638EB" w14:paraId="5055E8B5" w14:textId="77777777" w:rsidTr="0036178C">
        <w:tc>
          <w:tcPr>
            <w:tcW w:w="9212" w:type="dxa"/>
          </w:tcPr>
          <w:p w14:paraId="43488653" w14:textId="436833FA" w:rsidR="00492AB4" w:rsidRPr="005638EB" w:rsidRDefault="00492AB4" w:rsidP="006354B6">
            <w:pPr>
              <w:tabs>
                <w:tab w:val="left" w:pos="7465"/>
              </w:tabs>
              <w:rPr>
                <w:rFonts w:ascii="Arial Narrow" w:hAnsi="Arial Narrow"/>
                <w:b/>
              </w:rPr>
            </w:pPr>
            <w:r>
              <w:rPr>
                <w:rFonts w:ascii="Arial Narrow" w:hAnsi="Arial Narrow"/>
                <w:b/>
                <w:sz w:val="22"/>
              </w:rPr>
              <w:t>Wurde für diese angefrag</w:t>
            </w:r>
            <w:r w:rsidR="00DC6CBD">
              <w:rPr>
                <w:rFonts w:ascii="Arial Narrow" w:hAnsi="Arial Narrow"/>
                <w:b/>
                <w:sz w:val="22"/>
              </w:rPr>
              <w:t>te Untersuchungs- und Behandlungsmethode von Ihrem Kranke</w:t>
            </w:r>
            <w:r w:rsidR="00DB14F4">
              <w:rPr>
                <w:rFonts w:ascii="Arial Narrow" w:hAnsi="Arial Narrow"/>
                <w:b/>
                <w:sz w:val="22"/>
              </w:rPr>
              <w:t>nhaus bereits vor dem 01.01.202</w:t>
            </w:r>
            <w:r w:rsidR="004226DE">
              <w:rPr>
                <w:rFonts w:ascii="Arial Narrow" w:hAnsi="Arial Narrow"/>
                <w:b/>
                <w:sz w:val="22"/>
              </w:rPr>
              <w:t>6</w:t>
            </w:r>
            <w:r w:rsidR="00DC6CBD">
              <w:rPr>
                <w:rFonts w:ascii="Arial Narrow" w:hAnsi="Arial Narrow"/>
                <w:b/>
                <w:sz w:val="22"/>
              </w:rPr>
              <w:t xml:space="preserve"> eine Anfrage gemäß §6 Abs. 2 KHEntG an das InEK übermittelt</w:t>
            </w:r>
            <w:r w:rsidR="002333FF">
              <w:rPr>
                <w:rFonts w:ascii="Arial Narrow" w:hAnsi="Arial Narrow"/>
                <w:b/>
                <w:sz w:val="22"/>
              </w:rPr>
              <w:t>?</w:t>
            </w:r>
          </w:p>
        </w:tc>
      </w:tr>
      <w:tr w:rsidR="00492AB4" w:rsidRPr="005638EB" w14:paraId="3F239A32" w14:textId="77777777" w:rsidTr="0036178C">
        <w:tc>
          <w:tcPr>
            <w:tcW w:w="9212" w:type="dxa"/>
          </w:tcPr>
          <w:p w14:paraId="7DD0679B" w14:textId="19C8C5DF" w:rsidR="000B5149" w:rsidRPr="000B5149" w:rsidRDefault="00ED79AA" w:rsidP="00DB14F4">
            <w:pPr>
              <w:rPr>
                <w:rFonts w:ascii="Arial Narrow" w:hAnsi="Arial Narrow"/>
                <w:sz w:val="22"/>
                <w:highlight w:val="yellow"/>
              </w:rPr>
            </w:pPr>
            <w:r>
              <w:rPr>
                <w:rFonts w:ascii="Arial Narrow" w:hAnsi="Arial Narrow"/>
                <w:sz w:val="22"/>
                <w:highlight w:val="yellow"/>
              </w:rPr>
              <w:t>[</w:t>
            </w:r>
            <w:r w:rsidR="009B6935" w:rsidRPr="009B6935">
              <w:rPr>
                <w:rFonts w:ascii="Arial Narrow" w:hAnsi="Arial Narrow"/>
                <w:sz w:val="22"/>
                <w:highlight w:val="yellow"/>
              </w:rPr>
              <w:t xml:space="preserve">hier ja ankreuzen, falls Sie zu den Häusern gehören, die im Vorjahr eine Anfrage gestellt haben, sonst nein ankreuzen. Bei ja Anfrage aus dem Vorjahr im Datenportal auswählen. </w:t>
            </w:r>
            <w:r w:rsidR="00DB14F4" w:rsidRPr="009B6935">
              <w:rPr>
                <w:rFonts w:ascii="Arial Narrow" w:hAnsi="Arial Narrow"/>
                <w:sz w:val="22"/>
                <w:highlight w:val="yellow"/>
              </w:rPr>
              <w:t>D</w:t>
            </w:r>
            <w:r w:rsidR="006C656D" w:rsidRPr="009B6935">
              <w:rPr>
                <w:rFonts w:ascii="Arial Narrow" w:hAnsi="Arial Narrow"/>
                <w:sz w:val="22"/>
                <w:highlight w:val="yellow"/>
              </w:rPr>
              <w:t>ie Angab</w:t>
            </w:r>
            <w:r w:rsidR="00DB14F4" w:rsidRPr="009B6935">
              <w:rPr>
                <w:rFonts w:ascii="Arial Narrow" w:hAnsi="Arial Narrow"/>
                <w:sz w:val="22"/>
                <w:highlight w:val="yellow"/>
              </w:rPr>
              <w:t>e der vorangegangenen Verfahre</w:t>
            </w:r>
            <w:r w:rsidR="00BE3979" w:rsidRPr="009B6935">
              <w:rPr>
                <w:rFonts w:ascii="Arial Narrow" w:hAnsi="Arial Narrow"/>
                <w:sz w:val="22"/>
                <w:highlight w:val="yellow"/>
              </w:rPr>
              <w:t>n</w:t>
            </w:r>
            <w:r w:rsidR="00DB14F4" w:rsidRPr="009B6935">
              <w:rPr>
                <w:rFonts w:ascii="Arial Narrow" w:hAnsi="Arial Narrow"/>
                <w:sz w:val="22"/>
                <w:highlight w:val="yellow"/>
              </w:rPr>
              <w:t>s</w:t>
            </w:r>
            <w:r w:rsidR="006C656D" w:rsidRPr="009B6935">
              <w:rPr>
                <w:rFonts w:ascii="Arial Narrow" w:hAnsi="Arial Narrow"/>
                <w:sz w:val="22"/>
                <w:highlight w:val="yellow"/>
              </w:rPr>
              <w:t xml:space="preserve">nummer </w:t>
            </w:r>
            <w:r w:rsidR="00DB14F4" w:rsidRPr="009B6935">
              <w:rPr>
                <w:rFonts w:ascii="Arial Narrow" w:hAnsi="Arial Narrow"/>
                <w:sz w:val="22"/>
                <w:highlight w:val="yellow"/>
              </w:rPr>
              <w:t xml:space="preserve">ist </w:t>
            </w:r>
            <w:r w:rsidR="006C656D" w:rsidRPr="009B6935">
              <w:rPr>
                <w:rFonts w:ascii="Arial Narrow" w:hAnsi="Arial Narrow"/>
                <w:sz w:val="22"/>
                <w:highlight w:val="yellow"/>
              </w:rPr>
              <w:t xml:space="preserve">Pflicht, </w:t>
            </w:r>
            <w:r w:rsidR="00DB14F4" w:rsidRPr="009B6935">
              <w:rPr>
                <w:rFonts w:ascii="Arial Narrow" w:hAnsi="Arial Narrow"/>
                <w:sz w:val="22"/>
                <w:highlight w:val="yellow"/>
              </w:rPr>
              <w:t xml:space="preserve">diese </w:t>
            </w:r>
            <w:r w:rsidR="006C656D" w:rsidRPr="009B6935">
              <w:rPr>
                <w:rFonts w:ascii="Arial Narrow" w:hAnsi="Arial Narrow"/>
                <w:sz w:val="22"/>
                <w:highlight w:val="yellow"/>
              </w:rPr>
              <w:t xml:space="preserve">wird im Formular durch </w:t>
            </w:r>
            <w:r w:rsidR="00A274EA">
              <w:rPr>
                <w:rFonts w:ascii="Arial Narrow" w:hAnsi="Arial Narrow"/>
                <w:sz w:val="22"/>
                <w:highlight w:val="yellow"/>
              </w:rPr>
              <w:t xml:space="preserve">die </w:t>
            </w:r>
            <w:r w:rsidR="006C656D" w:rsidRPr="009B6935">
              <w:rPr>
                <w:rFonts w:ascii="Arial Narrow" w:hAnsi="Arial Narrow"/>
                <w:sz w:val="22"/>
                <w:highlight w:val="yellow"/>
              </w:rPr>
              <w:t>Suchfunktion unterstützt</w:t>
            </w:r>
            <w:r w:rsidR="00DB14F4" w:rsidRPr="009B6935">
              <w:rPr>
                <w:rFonts w:ascii="Arial Narrow" w:hAnsi="Arial Narrow"/>
                <w:sz w:val="22"/>
                <w:highlight w:val="yellow"/>
              </w:rPr>
              <w:t>]</w:t>
            </w:r>
          </w:p>
        </w:tc>
      </w:tr>
    </w:tbl>
    <w:p w14:paraId="53DF57CA" w14:textId="77777777" w:rsidR="00492AB4" w:rsidRPr="005638EB" w:rsidRDefault="00492AB4"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823808B" w14:textId="77777777">
        <w:tc>
          <w:tcPr>
            <w:tcW w:w="9212" w:type="dxa"/>
          </w:tcPr>
          <w:p w14:paraId="3A37C23D" w14:textId="6AFD43C7" w:rsidR="008E6675" w:rsidRPr="005638EB" w:rsidRDefault="008E6675" w:rsidP="005638EB">
            <w:pPr>
              <w:rPr>
                <w:rFonts w:ascii="Arial Narrow" w:hAnsi="Arial Narrow"/>
                <w:b/>
              </w:rPr>
            </w:pPr>
            <w:r w:rsidRPr="005638EB">
              <w:rPr>
                <w:rFonts w:ascii="Arial Narrow" w:hAnsi="Arial Narrow"/>
                <w:b/>
                <w:sz w:val="22"/>
              </w:rPr>
              <w:t>Beschreibung der neuen Methode</w:t>
            </w:r>
          </w:p>
        </w:tc>
      </w:tr>
      <w:tr w:rsidR="008E6675" w:rsidRPr="00565242" w14:paraId="5696BA9D" w14:textId="77777777">
        <w:tc>
          <w:tcPr>
            <w:tcW w:w="9212" w:type="dxa"/>
          </w:tcPr>
          <w:p w14:paraId="2807D36B" w14:textId="77777777" w:rsidR="00A53C85" w:rsidRDefault="00A53C85" w:rsidP="00A53C85">
            <w:pPr>
              <w:rPr>
                <w:rFonts w:ascii="Arial Narrow" w:hAnsi="Arial Narrow"/>
                <w:sz w:val="22"/>
                <w:u w:val="single"/>
              </w:rPr>
            </w:pPr>
            <w:r>
              <w:rPr>
                <w:rFonts w:ascii="Arial Narrow" w:hAnsi="Arial Narrow"/>
                <w:sz w:val="22"/>
                <w:u w:val="single"/>
              </w:rPr>
              <w:t xml:space="preserve">Wirkweise: </w:t>
            </w:r>
          </w:p>
          <w:p w14:paraId="4F4674CE" w14:textId="77777777" w:rsidR="00A53C85" w:rsidRDefault="00A53C85" w:rsidP="00A53C85">
            <w:pPr>
              <w:rPr>
                <w:rFonts w:ascii="Arial Narrow" w:hAnsi="Arial Narrow"/>
                <w:sz w:val="22"/>
              </w:rPr>
            </w:pPr>
            <w:r>
              <w:rPr>
                <w:rFonts w:ascii="Arial Narrow" w:hAnsi="Arial Narrow"/>
                <w:sz w:val="22"/>
              </w:rPr>
              <w:t>Mirvetuximab-Soravtansin ist ein Antikörper-Wirkstoff-Konjugat (Antibody-Drug Conjugate, ADC) mit Orphan-Drug-Status zur Behandlung von erwachsenen Patientinnen mit Folatrezeptor-alpha (FRα)-positivem, platinresistentem, high-grade serösem epithelialem Ovarial-, Tuben- oder primärem Peritonealkarzinom, die zuvor ein bis drei systemische Behandlungslinien erhalten haben. Das Konjugat besteht aus einem monoklonalen Anti-FRα-Antikörper des IgG1-Subtyps, der über den spaltbaren Linker sulfo-SPDB (Butansäure, 4-(2-Pyridinyldithio)-2-sulfo-1-(2,5-dioxo-1-pyrrolidinyl)-Ester) an das zytotoxische Maytansinoid DM4, einen Antitubulinwirkstoff (Mikrotubuli-Inhibitor), gebunden ist. Das Konjugat weist eine durchschnittliche Drug-to-Antibody-Ratio (DAR) von 3,4 DM4 Payload-Molekülen, die an den Anti-FR</w:t>
            </w:r>
            <w:r>
              <w:rPr>
                <w:rFonts w:ascii="Calibri" w:hAnsi="Calibri" w:cs="Calibri"/>
                <w:sz w:val="22"/>
              </w:rPr>
              <w:t>α</w:t>
            </w:r>
            <w:r>
              <w:rPr>
                <w:rFonts w:ascii="Arial Narrow" w:hAnsi="Arial Narrow"/>
                <w:sz w:val="22"/>
              </w:rPr>
              <w:t>-Antikörper gebunden sind, auf. Nach selektiver Bindung an FRα auf der Tumorzelloberfläche wird das ADC internalisiert und DM4 wird intrazellulär durch proteolytische Spaltung freigesetzt. Dies führt zur Zerstörung des Mikrotubuli-Netzwerks, zum Zellzyklusarrest und zur Apoptose. Der FRα-Status des Tumors wird immunhistochemisch (IHC) bestimmt, bewertet durch ein CE-gekennzeichnetes In-vitro-Diagnostikum (IVD), das für den entsprechenden Verwendungszweck validiert ist. Ein Nachweis von ≥ 75 % der lebensfähigen Tumorzellen mit mäßiger (2+) und/oder starker (3+) Intensität der Membranfärbung ist hierbei als positiv definiert. Wenn kein CE-gekennzeichnetes IVD zur Verfügung steht, sollte ein alterna</w:t>
            </w:r>
            <w:r>
              <w:rPr>
                <w:rFonts w:ascii="Arial Narrow" w:hAnsi="Arial Narrow"/>
                <w:sz w:val="22"/>
              </w:rPr>
              <w:softHyphen/>
              <w:t>ti</w:t>
            </w:r>
            <w:r>
              <w:rPr>
                <w:rFonts w:ascii="Arial Narrow" w:hAnsi="Arial Narrow"/>
                <w:sz w:val="22"/>
              </w:rPr>
              <w:softHyphen/>
              <w:t>ver validierter Test verwendet werden.</w:t>
            </w:r>
          </w:p>
          <w:p w14:paraId="5CFBE0DF" w14:textId="77777777" w:rsidR="00A53C85" w:rsidRDefault="00A53C85" w:rsidP="00A53C85">
            <w:pPr>
              <w:rPr>
                <w:rFonts w:ascii="Arial Narrow" w:hAnsi="Arial Narrow"/>
                <w:sz w:val="22"/>
              </w:rPr>
            </w:pPr>
          </w:p>
          <w:p w14:paraId="45EEA347" w14:textId="77777777" w:rsidR="00A53C85" w:rsidRDefault="00A53C85" w:rsidP="00A53C85">
            <w:pPr>
              <w:rPr>
                <w:rFonts w:ascii="Arial Narrow" w:hAnsi="Arial Narrow"/>
                <w:sz w:val="22"/>
                <w:u w:val="single"/>
              </w:rPr>
            </w:pPr>
            <w:r>
              <w:rPr>
                <w:rFonts w:ascii="Arial Narrow" w:hAnsi="Arial Narrow"/>
                <w:sz w:val="22"/>
                <w:u w:val="single"/>
              </w:rPr>
              <w:t xml:space="preserve">Evidenzlage:  </w:t>
            </w:r>
          </w:p>
          <w:p w14:paraId="6EFAB395" w14:textId="77777777" w:rsidR="00A53C85" w:rsidRDefault="00A53C85" w:rsidP="00A53C85">
            <w:pPr>
              <w:rPr>
                <w:rFonts w:ascii="Arial Narrow" w:hAnsi="Arial Narrow"/>
                <w:sz w:val="22"/>
              </w:rPr>
            </w:pPr>
            <w:r>
              <w:rPr>
                <w:rFonts w:ascii="Arial Narrow" w:hAnsi="Arial Narrow"/>
                <w:sz w:val="22"/>
              </w:rPr>
              <w:t>In der multizentrischen, offenen, wirkstoffkontrollierten, randomisierten Phase-III-Zulassungsstudie mit zwei Behandlungsarmen MIRASOL (IMGN853-0416 / GOG 3045 / ENGOT-ov55) zeigte Mirvetuximab-Soravtansin bei Patientinnen mit FR</w:t>
            </w:r>
            <w:r>
              <w:rPr>
                <w:rFonts w:ascii="Calibri" w:hAnsi="Calibri" w:cs="Calibri"/>
                <w:sz w:val="22"/>
              </w:rPr>
              <w:t>α</w:t>
            </w:r>
            <w:r>
              <w:rPr>
                <w:rFonts w:ascii="Arial Narrow" w:hAnsi="Arial Narrow"/>
                <w:sz w:val="22"/>
              </w:rPr>
              <w:t xml:space="preserve">-positivem, platinresistentem, high-grade serösem epithelialem Ovarial-, Tuben- oder primärem Peritonealkarzinom und 1-3 systemischen Vortherapien eine signifikant verbesserte Wirksamkeit im Vergleich zur Chemotherapie nach Wahl des Prüfarztes. FRα-Positivität wurde definiert als Nachweis von ≥ 75 % der lebensfähigen Tumorzellen mit mäßiger (2+) und/oder starker (3+) Intensität der Membranfärbung durch Immunhistochemie (IHC). Mirvetuximab-Soravtansin verlängerte das mediane, durch den Prüfarzt nach RECIST 1.1 beurteilte progressionsfreie Überleben (PFS) statistisch signifikant auf 5,62 Monate vs. 3,98 Monate (HR: 0,65; 95 %-KI: 0,521-0,808; p &lt; 0,0001) und das mediane Gesamtüberleben (OS) auf 16,46 vs. 12,75 Monate </w:t>
            </w:r>
            <w:r>
              <w:rPr>
                <w:rFonts w:ascii="Arial Narrow" w:hAnsi="Arial Narrow"/>
                <w:sz w:val="22"/>
              </w:rPr>
              <w:lastRenderedPageBreak/>
              <w:t>(HR: 0,67; 95 %-KI: 0,504-0,885; p = 0,0046). Die Gesamtansprechrate (ORR) betrug unter Mirvetuximab-Soravtansin 42,3 % (95 %-KI: 35,8-49,0 %) im Vergleich zu 15,9 % (95 %-KI: 11,4-21,4 %) unter Chemotherapie (p &lt; 0,0001), wobei 5,3 % der Patientinnen ein vollständiges Ansprechen (CR) erreichten im Vergleich zu 0 % unter Chemotherapie.</w:t>
            </w:r>
          </w:p>
          <w:p w14:paraId="22C83E56" w14:textId="77777777" w:rsidR="00A53C85" w:rsidRDefault="00A53C85" w:rsidP="00A53C85">
            <w:pPr>
              <w:rPr>
                <w:rFonts w:ascii="Arial Narrow" w:hAnsi="Arial Narrow"/>
                <w:sz w:val="22"/>
              </w:rPr>
            </w:pPr>
          </w:p>
          <w:p w14:paraId="770C2F99" w14:textId="77777777" w:rsidR="00A53C85" w:rsidRDefault="00A53C85" w:rsidP="00A53C85">
            <w:pPr>
              <w:rPr>
                <w:rFonts w:ascii="Arial Narrow" w:hAnsi="Arial Narrow"/>
                <w:sz w:val="22"/>
              </w:rPr>
            </w:pPr>
            <w:r>
              <w:rPr>
                <w:rFonts w:ascii="Arial Narrow" w:hAnsi="Arial Narrow"/>
                <w:sz w:val="22"/>
              </w:rPr>
              <w:t xml:space="preserve">Dosierung:  </w:t>
            </w:r>
          </w:p>
          <w:p w14:paraId="298AEFED" w14:textId="77777777" w:rsidR="00A53C85" w:rsidRDefault="00A53C85" w:rsidP="00A53C85">
            <w:pPr>
              <w:rPr>
                <w:rFonts w:ascii="Arial Narrow" w:hAnsi="Arial Narrow"/>
                <w:sz w:val="22"/>
              </w:rPr>
            </w:pPr>
          </w:p>
          <w:p w14:paraId="52232DF0" w14:textId="77777777" w:rsidR="00A53C85" w:rsidRDefault="00A53C85" w:rsidP="00A53C85">
            <w:pPr>
              <w:rPr>
                <w:rFonts w:ascii="Arial Narrow" w:hAnsi="Arial Narrow"/>
                <w:sz w:val="22"/>
              </w:rPr>
            </w:pPr>
            <w:r>
              <w:rPr>
                <w:rFonts w:ascii="Arial Narrow" w:hAnsi="Arial Narrow"/>
                <w:sz w:val="22"/>
              </w:rPr>
              <w:t>Die empfohlene Dosis beträgt 6 mg/kg angepasstes Idealkörpergewicht (adjusted ideal body weight, AIBW) einmal alle 3 Wochen (21-Tage-Zyklus) bis zur Progression der Erkrankung oder Auftreten einer inakzeptablen Toxizität. Mirvetuximab-Soravtansin ist als intravenöse Infusion mit einer Rate von 1 mg/min vorgesehen. Bei guter Verträglichkeit nach 30 Minuten kann die Infusionsrate auf 3 mg/min erhöht werden. Bei guter Verträglichkeit nach 30 Minuten bei 3 mg/min kann die Infusionsrate auf 5 mg/min erhöht werden.</w:t>
            </w:r>
          </w:p>
          <w:p w14:paraId="2AA63E09" w14:textId="77777777" w:rsidR="00A53C85" w:rsidRDefault="00A53C85" w:rsidP="00A53C85">
            <w:pPr>
              <w:rPr>
                <w:rFonts w:ascii="Arial Narrow" w:hAnsi="Arial Narrow"/>
                <w:sz w:val="22"/>
              </w:rPr>
            </w:pPr>
          </w:p>
          <w:p w14:paraId="46A69DAF" w14:textId="77777777" w:rsidR="00A53C85" w:rsidRDefault="00A53C85" w:rsidP="00A53C85">
            <w:pPr>
              <w:rPr>
                <w:rFonts w:ascii="Arial Narrow" w:hAnsi="Arial Narrow"/>
                <w:sz w:val="22"/>
              </w:rPr>
            </w:pPr>
            <w:r>
              <w:rPr>
                <w:rFonts w:ascii="Arial Narrow" w:hAnsi="Arial Narrow"/>
                <w:sz w:val="22"/>
              </w:rPr>
              <w:t>Quelle:</w:t>
            </w:r>
          </w:p>
          <w:p w14:paraId="00FC282E" w14:textId="77777777" w:rsidR="00A53C85" w:rsidRDefault="00A53C85" w:rsidP="00A53C85">
            <w:pPr>
              <w:rPr>
                <w:rFonts w:ascii="Arial Narrow" w:hAnsi="Arial Narrow"/>
                <w:sz w:val="22"/>
              </w:rPr>
            </w:pPr>
          </w:p>
          <w:p w14:paraId="649E2BE0" w14:textId="77777777" w:rsidR="00A53C85" w:rsidRDefault="00A53C85" w:rsidP="00A53C85">
            <w:pPr>
              <w:pStyle w:val="Listenabsatz"/>
              <w:numPr>
                <w:ilvl w:val="0"/>
                <w:numId w:val="14"/>
              </w:numPr>
              <w:rPr>
                <w:rFonts w:ascii="Arial Narrow" w:hAnsi="Arial Narrow"/>
                <w:sz w:val="22"/>
              </w:rPr>
            </w:pPr>
            <w:r>
              <w:rPr>
                <w:rFonts w:ascii="Arial Narrow" w:hAnsi="Arial Narrow"/>
                <w:sz w:val="22"/>
              </w:rPr>
              <w:t>Fachinformation Elahere. Stand August 2025, Zugriff 28.07.2026</w:t>
            </w:r>
          </w:p>
          <w:p w14:paraId="23060EF0" w14:textId="77777777" w:rsidR="00A53C85" w:rsidRDefault="00A53C85" w:rsidP="00A53C85">
            <w:pPr>
              <w:pStyle w:val="Listenabsatz"/>
              <w:numPr>
                <w:ilvl w:val="0"/>
                <w:numId w:val="14"/>
              </w:numPr>
              <w:rPr>
                <w:rFonts w:ascii="Arial Narrow" w:hAnsi="Arial Narrow"/>
                <w:sz w:val="22"/>
                <w:lang w:val="en-US"/>
              </w:rPr>
            </w:pPr>
            <w:r>
              <w:rPr>
                <w:rFonts w:ascii="Arial Narrow" w:hAnsi="Arial Narrow"/>
                <w:sz w:val="22"/>
                <w:lang w:val="en-US"/>
              </w:rPr>
              <w:t>Van Gorp T et al. Patient-reported outcomes from the MIRASOL trial evaluating mirvetuximab soravtansine versus chemotherapy in patients with folate receptor α-positive, platinum-resistant ovarian cancer: a randomised, open-label, phase 3 trial. Stand April 2025, Zugriff 28.07.2026.</w:t>
            </w:r>
          </w:p>
          <w:p w14:paraId="0AF79188" w14:textId="05206673" w:rsidR="00565242" w:rsidRPr="00ED4A64" w:rsidRDefault="00A53C85" w:rsidP="00A53C85">
            <w:pPr>
              <w:pStyle w:val="Listenabsatz"/>
              <w:numPr>
                <w:ilvl w:val="0"/>
                <w:numId w:val="14"/>
              </w:numPr>
              <w:rPr>
                <w:rFonts w:ascii="Arial Narrow" w:hAnsi="Arial Narrow"/>
                <w:sz w:val="22"/>
                <w:lang w:val="en-US"/>
              </w:rPr>
            </w:pPr>
            <w:r>
              <w:rPr>
                <w:rFonts w:ascii="Arial Narrow" w:hAnsi="Arial Narrow"/>
                <w:sz w:val="22"/>
                <w:lang w:val="en-US"/>
              </w:rPr>
              <w:t>Moore KN, Angelergues A, Konecny GE et al. Mirvetuximab Soravtansine in FRα-Positive, Platinum-Resistant Ovarian Cancer. New England Journal of Medicine. Stand Dezember 2023, Zugriff 28.07.2026</w:t>
            </w:r>
          </w:p>
        </w:tc>
      </w:tr>
    </w:tbl>
    <w:p w14:paraId="6F81F951" w14:textId="77777777" w:rsidR="008E6675" w:rsidRPr="0076377F" w:rsidRDefault="008E6675" w:rsidP="005638EB">
      <w:pPr>
        <w:rPr>
          <w:rFonts w:ascii="Arial Narrow" w:hAnsi="Arial Narrow"/>
          <w:sz w:val="22"/>
          <w:lang w:val="en-US"/>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3F33158" w14:textId="77777777">
        <w:tc>
          <w:tcPr>
            <w:tcW w:w="9212" w:type="dxa"/>
          </w:tcPr>
          <w:p w14:paraId="684681EC" w14:textId="7F246CCE" w:rsidR="008E6675" w:rsidRPr="005638EB" w:rsidRDefault="008E6675" w:rsidP="005638EB">
            <w:pPr>
              <w:rPr>
                <w:rFonts w:ascii="Arial Narrow" w:hAnsi="Arial Narrow"/>
                <w:b/>
              </w:rPr>
            </w:pPr>
            <w:r w:rsidRPr="005638EB">
              <w:rPr>
                <w:rFonts w:ascii="Arial Narrow" w:hAnsi="Arial Narrow"/>
                <w:b/>
                <w:sz w:val="22"/>
              </w:rPr>
              <w:t>Mit welchem OPS wird die Methode verschlüsselt?</w:t>
            </w:r>
          </w:p>
        </w:tc>
      </w:tr>
      <w:tr w:rsidR="008E6675" w:rsidRPr="006354B6" w14:paraId="5C95386E" w14:textId="77777777">
        <w:tc>
          <w:tcPr>
            <w:tcW w:w="9212" w:type="dxa"/>
          </w:tcPr>
          <w:p w14:paraId="276EB151" w14:textId="2E2B8556" w:rsidR="00CC7E5F" w:rsidRPr="006354B6" w:rsidRDefault="00535504" w:rsidP="00435583">
            <w:pPr>
              <w:rPr>
                <w:rFonts w:ascii="Arial Narrow" w:hAnsi="Arial Narrow"/>
                <w:sz w:val="22"/>
              </w:rPr>
            </w:pPr>
            <w:bookmarkStart w:id="0" w:name="_Hlk83810295"/>
            <w:r w:rsidRPr="00535504">
              <w:rPr>
                <w:rFonts w:ascii="Arial Narrow" w:hAnsi="Arial Narrow"/>
                <w:sz w:val="22"/>
              </w:rPr>
              <w:t>6-00p.5</w:t>
            </w:r>
            <w:bookmarkEnd w:id="0"/>
          </w:p>
        </w:tc>
      </w:tr>
    </w:tbl>
    <w:p w14:paraId="63A2C327" w14:textId="77777777" w:rsidR="00DC6CBD" w:rsidRPr="006354B6" w:rsidRDefault="00DC6CBD" w:rsidP="00EE0D0B">
      <w:pPr>
        <w:jc w:val="center"/>
        <w:rPr>
          <w:rFonts w:ascii="Arial Narrow" w:hAnsi="Arial Narrow"/>
          <w:sz w:val="22"/>
        </w:rPr>
      </w:pPr>
    </w:p>
    <w:tbl>
      <w:tblPr>
        <w:tblStyle w:val="TableNormal1"/>
        <w:tblW w:w="921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4C4F82" w:rsidRPr="005638EB" w14:paraId="1C363EAC" w14:textId="77777777" w:rsidTr="00ED4A64">
        <w:tc>
          <w:tcPr>
            <w:tcW w:w="9212" w:type="dxa"/>
          </w:tcPr>
          <w:p w14:paraId="76259E49" w14:textId="0E1E9B3E" w:rsidR="004C4F82" w:rsidRPr="005638EB" w:rsidRDefault="002333FF" w:rsidP="0036178C">
            <w:pPr>
              <w:rPr>
                <w:rFonts w:ascii="Arial Narrow" w:hAnsi="Arial Narrow"/>
                <w:b/>
              </w:rPr>
            </w:pPr>
            <w:r>
              <w:rPr>
                <w:rFonts w:ascii="Arial Narrow" w:hAnsi="Arial Narrow"/>
                <w:b/>
                <w:sz w:val="22"/>
              </w:rPr>
              <w:t>Anmerkungen zu den Proz</w:t>
            </w:r>
            <w:r w:rsidR="004C4F82" w:rsidRPr="004C4F82">
              <w:rPr>
                <w:rFonts w:ascii="Arial Narrow" w:hAnsi="Arial Narrow"/>
                <w:b/>
                <w:sz w:val="22"/>
              </w:rPr>
              <w:t>eduren</w:t>
            </w:r>
          </w:p>
        </w:tc>
      </w:tr>
      <w:tr w:rsidR="004C4F82" w:rsidRPr="007F255B" w14:paraId="131FE40C" w14:textId="432607B1" w:rsidTr="00ED4A64">
        <w:tc>
          <w:tcPr>
            <w:tcW w:w="9212" w:type="dxa"/>
          </w:tcPr>
          <w:p w14:paraId="48201DB1" w14:textId="6C46454B" w:rsidR="004C4F82" w:rsidRPr="00EF402B" w:rsidRDefault="00ED4A64" w:rsidP="00435583">
            <w:pPr>
              <w:rPr>
                <w:rFonts w:ascii="Arial Narrow" w:hAnsi="Arial Narrow"/>
                <w:sz w:val="22"/>
                <w:szCs w:val="22"/>
              </w:rPr>
            </w:pPr>
            <w:r>
              <w:rPr>
                <w:rFonts w:ascii="Arial Narrow" w:hAnsi="Arial Narrow"/>
                <w:sz w:val="22"/>
                <w:szCs w:val="22"/>
              </w:rPr>
              <w:t xml:space="preserve">  </w:t>
            </w:r>
          </w:p>
        </w:tc>
      </w:tr>
    </w:tbl>
    <w:p w14:paraId="497C648B" w14:textId="77777777" w:rsidR="004C4F82" w:rsidRPr="005638EB" w:rsidRDefault="004C4F82"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1C579B85" w14:textId="77777777">
        <w:tc>
          <w:tcPr>
            <w:tcW w:w="9212" w:type="dxa"/>
          </w:tcPr>
          <w:p w14:paraId="442A0D93" w14:textId="77777777" w:rsidR="008E6675" w:rsidRPr="005638EB" w:rsidRDefault="008E6675" w:rsidP="005638EB">
            <w:pPr>
              <w:rPr>
                <w:rFonts w:ascii="Arial Narrow" w:hAnsi="Arial Narrow"/>
                <w:b/>
              </w:rPr>
            </w:pPr>
            <w:r w:rsidRPr="005638EB">
              <w:rPr>
                <w:rFonts w:ascii="Arial Narrow" w:hAnsi="Arial Narrow"/>
                <w:b/>
                <w:sz w:val="22"/>
              </w:rPr>
              <w:t>Bei welchen Patienten wird die Methode angewandt (Indikation)?</w:t>
            </w:r>
          </w:p>
        </w:tc>
      </w:tr>
      <w:tr w:rsidR="008E6675" w:rsidRPr="007F255B" w14:paraId="158F0243" w14:textId="77777777">
        <w:tc>
          <w:tcPr>
            <w:tcW w:w="9212" w:type="dxa"/>
          </w:tcPr>
          <w:p w14:paraId="606B75B1" w14:textId="1F3D984E" w:rsidR="00D91F3C" w:rsidRPr="007F255B" w:rsidRDefault="00D91F3C" w:rsidP="0038796B">
            <w:pPr>
              <w:rPr>
                <w:rFonts w:ascii="Arial Narrow" w:hAnsi="Arial Narrow"/>
                <w:sz w:val="22"/>
                <w:szCs w:val="22"/>
              </w:rPr>
            </w:pPr>
            <w:r>
              <w:rPr>
                <w:rFonts w:ascii="Arial Narrow" w:hAnsi="Arial Narrow"/>
                <w:sz w:val="22"/>
                <w:szCs w:val="22"/>
              </w:rPr>
              <w:t>Mirvetuximab-Soravtansin als Monotherapie ist indiziert zur Behandlung von erwachsenen Patientinnen mit Folatrezeptor-alpha (FR</w:t>
            </w:r>
            <w:r>
              <w:rPr>
                <w:rFonts w:ascii="Calibri" w:hAnsi="Calibri" w:cs="Calibri"/>
                <w:sz w:val="22"/>
                <w:szCs w:val="22"/>
              </w:rPr>
              <w:t>α</w:t>
            </w:r>
            <w:r>
              <w:rPr>
                <w:rFonts w:ascii="Arial Narrow" w:hAnsi="Arial Narrow"/>
                <w:sz w:val="22"/>
                <w:szCs w:val="22"/>
              </w:rPr>
              <w:t>)-positivem, platinresistentem, high-grade serösem epithelialem Ovarial-, Tuben- oder primärem Peritonealkarzinom, die zuvor ein bis drei systemische Behandlungslinien erhalten haben.</w:t>
            </w:r>
          </w:p>
        </w:tc>
      </w:tr>
    </w:tbl>
    <w:p w14:paraId="2A567A9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544A3AED" w14:textId="77777777">
        <w:trPr>
          <w:trHeight w:val="234"/>
        </w:trPr>
        <w:tc>
          <w:tcPr>
            <w:tcW w:w="9212" w:type="dxa"/>
          </w:tcPr>
          <w:p w14:paraId="52A9B9D0" w14:textId="77777777" w:rsidR="008E6675" w:rsidRPr="005638EB" w:rsidRDefault="008E6675" w:rsidP="005638EB">
            <w:pPr>
              <w:rPr>
                <w:rFonts w:ascii="Arial Narrow" w:hAnsi="Arial Narrow"/>
                <w:b/>
              </w:rPr>
            </w:pPr>
            <w:r w:rsidRPr="005638EB">
              <w:rPr>
                <w:rFonts w:ascii="Arial Narrow" w:hAnsi="Arial Narrow"/>
                <w:b/>
                <w:sz w:val="22"/>
              </w:rPr>
              <w:t>Welche bestehende Methode wird durch die neue Methode abgelöst oder ergänzt?</w:t>
            </w:r>
          </w:p>
        </w:tc>
      </w:tr>
      <w:tr w:rsidR="008E6675" w:rsidRPr="007F255B" w14:paraId="6B0057FA" w14:textId="77777777">
        <w:tc>
          <w:tcPr>
            <w:tcW w:w="9212" w:type="dxa"/>
          </w:tcPr>
          <w:p w14:paraId="757666D1" w14:textId="77777777" w:rsidR="00594F63" w:rsidRDefault="00594F63" w:rsidP="00594F63">
            <w:pPr>
              <w:rPr>
                <w:rFonts w:ascii="Arial Narrow" w:hAnsi="Arial Narrow"/>
                <w:sz w:val="22"/>
                <w:szCs w:val="22"/>
              </w:rPr>
            </w:pPr>
            <w:r>
              <w:rPr>
                <w:rFonts w:ascii="Arial Narrow" w:hAnsi="Arial Narrow"/>
                <w:sz w:val="22"/>
                <w:szCs w:val="22"/>
              </w:rPr>
              <w:t>Die therapeutischen Möglichkeiten sind bei Patientinnen mit fortgeschrittenem oder metastasiertem platinresistentem epithelialem Ovarialkarzinom, Tubenkarzinom und primärem Peritonealkarzinom begrenzt. Nach dem Versagen platinhaltiger Erstlinien-Therapien können diverse Chemotherapien wie Topotecan, Paclitaxel, pegyliertes liposomales Doxorubicin oder Gemcitabin (Off-Label-Monotherapie), teils in Kombination mit Bevacizumab, angewandt werden. Mirvetuximab-Soravtansin stellt als zielgerichtetes Antikörper-Wirkstoff-Konjugat (ADC) die erste hocheffektive, Biomarker-gesteuerte Therapieoption dar.</w:t>
            </w:r>
          </w:p>
          <w:p w14:paraId="5A5360CD" w14:textId="77777777" w:rsidR="00594F63" w:rsidRDefault="00594F63" w:rsidP="00594F63">
            <w:pPr>
              <w:rPr>
                <w:rFonts w:ascii="Arial Narrow" w:hAnsi="Arial Narrow"/>
                <w:sz w:val="22"/>
                <w:szCs w:val="22"/>
              </w:rPr>
            </w:pPr>
          </w:p>
          <w:p w14:paraId="4BB5827F" w14:textId="77777777" w:rsidR="00594F63" w:rsidRDefault="00594F63" w:rsidP="00594F63">
            <w:pPr>
              <w:rPr>
                <w:rFonts w:ascii="Arial Narrow" w:hAnsi="Arial Narrow"/>
                <w:sz w:val="22"/>
                <w:szCs w:val="22"/>
              </w:rPr>
            </w:pPr>
            <w:r>
              <w:rPr>
                <w:rFonts w:ascii="Arial Narrow" w:hAnsi="Arial Narrow"/>
                <w:sz w:val="22"/>
                <w:szCs w:val="22"/>
              </w:rPr>
              <w:t xml:space="preserve">Quelle: </w:t>
            </w:r>
          </w:p>
          <w:p w14:paraId="0D5C1CCE" w14:textId="77777777" w:rsidR="00594F63" w:rsidRDefault="00594F63" w:rsidP="00594F63">
            <w:pPr>
              <w:rPr>
                <w:rFonts w:ascii="Arial Narrow" w:hAnsi="Arial Narrow"/>
                <w:sz w:val="22"/>
                <w:szCs w:val="22"/>
              </w:rPr>
            </w:pPr>
          </w:p>
          <w:p w14:paraId="21C9B612" w14:textId="77777777" w:rsidR="00594F63" w:rsidRDefault="00594F63" w:rsidP="00594F63">
            <w:pPr>
              <w:pStyle w:val="Listenabsatz"/>
              <w:numPr>
                <w:ilvl w:val="0"/>
                <w:numId w:val="16"/>
              </w:numPr>
              <w:rPr>
                <w:rFonts w:ascii="Arial Narrow" w:hAnsi="Arial Narrow"/>
                <w:sz w:val="22"/>
                <w:szCs w:val="22"/>
              </w:rPr>
            </w:pPr>
            <w:r>
              <w:rPr>
                <w:rFonts w:ascii="Arial Narrow" w:hAnsi="Arial Narrow"/>
                <w:sz w:val="22"/>
                <w:szCs w:val="22"/>
              </w:rPr>
              <w:t xml:space="preserve">Institut für Qualität und Wirtschaftlichkeit im Gesundheitswesen (IQWiG). Mirvetuximab-Soravtansin (Ovarialkarzinom) – Nutzenbewertung gemäß § 35a SGB V (Dossierbewertung, IQWiG-Berichte – Nr. 2226, Projekt A26-06). Stand 04. Mai 2026, Zugriff 09.09.2026. </w:t>
            </w:r>
          </w:p>
          <w:p w14:paraId="525AA2F6" w14:textId="77777777" w:rsidR="00594F63" w:rsidRDefault="00594F63" w:rsidP="00594F63">
            <w:pPr>
              <w:pStyle w:val="Listenabsatz"/>
              <w:rPr>
                <w:rFonts w:ascii="Arial Narrow" w:hAnsi="Arial Narrow"/>
                <w:sz w:val="22"/>
                <w:szCs w:val="22"/>
              </w:rPr>
            </w:pPr>
          </w:p>
          <w:p w14:paraId="3EC3722F" w14:textId="7A2A89B6" w:rsidR="0041320E" w:rsidRPr="008111C4" w:rsidRDefault="00594F63" w:rsidP="00594F63">
            <w:pPr>
              <w:pStyle w:val="Listenabsatz"/>
              <w:numPr>
                <w:ilvl w:val="0"/>
                <w:numId w:val="16"/>
              </w:numPr>
              <w:rPr>
                <w:rFonts w:ascii="Arial Narrow" w:hAnsi="Arial Narrow"/>
                <w:sz w:val="22"/>
                <w:szCs w:val="22"/>
              </w:rPr>
            </w:pPr>
            <w:r>
              <w:rPr>
                <w:rFonts w:ascii="Arial Narrow" w:hAnsi="Arial Narrow"/>
                <w:sz w:val="22"/>
                <w:szCs w:val="22"/>
              </w:rPr>
              <w:t xml:space="preserve">Gemeinsamer Bundesausschuss (G-BA). Beschluss über eine Änderung der Arzneimittel-Richtlinie: Anlage XII – Nutzenbewertung von Arzneimitteln mit neuen Wirkstoffen nach § 35a SGB V – </w:t>
            </w:r>
            <w:r>
              <w:rPr>
                <w:rFonts w:ascii="Arial Narrow" w:hAnsi="Arial Narrow"/>
                <w:sz w:val="22"/>
                <w:szCs w:val="22"/>
              </w:rPr>
              <w:lastRenderedPageBreak/>
              <w:t>Mirvetuximab Soravtansin (Neubewertung eines Orphan Drugs nach Überschreitung der 30 Millionen Euro-Grenze). BAnz AT 16.07.2026. Stand 16. Juli 2026, Zugriff 09.09.2026</w:t>
            </w:r>
          </w:p>
        </w:tc>
      </w:tr>
    </w:tbl>
    <w:p w14:paraId="073C0909"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CC85E94" w14:textId="77777777">
        <w:tc>
          <w:tcPr>
            <w:tcW w:w="9212" w:type="dxa"/>
          </w:tcPr>
          <w:p w14:paraId="25335173" w14:textId="77777777" w:rsidR="008E6675" w:rsidRPr="005638EB" w:rsidRDefault="008E6675" w:rsidP="00E92C57">
            <w:pPr>
              <w:rPr>
                <w:rFonts w:ascii="Arial Narrow" w:hAnsi="Arial Narrow"/>
                <w:b/>
              </w:rPr>
            </w:pPr>
            <w:r w:rsidRPr="005638EB">
              <w:rPr>
                <w:rFonts w:ascii="Arial Narrow" w:hAnsi="Arial Narrow"/>
                <w:b/>
                <w:sz w:val="22"/>
              </w:rPr>
              <w:t>Ist die Methode vollständig oder in Teilen neu und warum handelt es sich um eine neue Untersuchungs- und Behandlungsmethode?</w:t>
            </w:r>
          </w:p>
        </w:tc>
      </w:tr>
      <w:tr w:rsidR="008E6675" w:rsidRPr="005638EB" w14:paraId="402C1327" w14:textId="77777777">
        <w:tc>
          <w:tcPr>
            <w:tcW w:w="9212" w:type="dxa"/>
          </w:tcPr>
          <w:p w14:paraId="2A04AC91" w14:textId="77777777" w:rsidR="00AE4E81" w:rsidRPr="00AE4E81" w:rsidRDefault="00AE4E81" w:rsidP="00AE4E81">
            <w:pPr>
              <w:rPr>
                <w:rFonts w:ascii="Arial Narrow" w:hAnsi="Arial Narrow"/>
                <w:sz w:val="22"/>
              </w:rPr>
            </w:pPr>
            <w:r w:rsidRPr="00AE4E81">
              <w:rPr>
                <w:rFonts w:ascii="Arial Narrow" w:hAnsi="Arial Narrow"/>
                <w:sz w:val="22"/>
              </w:rPr>
              <w:t xml:space="preserve">Mirvetuximab-Soravtansin ist das erste und bisher einzige Antikörper-Wirkstoff-Konjugat (ADC), das für die Therapie des FRα-positiven Platin-resistentem high-grade serösen epithelialen Ovarial-, Tuben- oder Peritonealkarzinom zugelassen wurde. </w:t>
            </w:r>
          </w:p>
          <w:p w14:paraId="6B1FDB47" w14:textId="105D0AF9" w:rsidR="008E6675" w:rsidRPr="00A649B4" w:rsidRDefault="00AE4E81" w:rsidP="00AE4E81">
            <w:pPr>
              <w:rPr>
                <w:rFonts w:ascii="Arial Narrow" w:hAnsi="Arial Narrow"/>
                <w:sz w:val="22"/>
              </w:rPr>
            </w:pPr>
            <w:r w:rsidRPr="00AE4E81">
              <w:rPr>
                <w:rFonts w:ascii="Arial Narrow" w:hAnsi="Arial Narrow"/>
                <w:sz w:val="22"/>
              </w:rPr>
              <w:t>In den Informationen nach § 6 Abs. 2 KHEntgG für 2026 hat Mirvetuximab-Soravtansin den Status 1 erhalten. Somit wurde bereits für das Jahr 2026 seitens des InEK entschieden, dass der Einsatz von Mirvetuximab-Soravtansin für das Krankenhaus unzureichend finanziert wäre, zumal andere mögliche Therapien über NUB- oder Zusatzentgelte finanziert werden.</w:t>
            </w:r>
          </w:p>
        </w:tc>
      </w:tr>
    </w:tbl>
    <w:p w14:paraId="75E7896B"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A2055" w14:textId="77777777">
        <w:tc>
          <w:tcPr>
            <w:tcW w:w="9212" w:type="dxa"/>
          </w:tcPr>
          <w:p w14:paraId="4E8FCE4C" w14:textId="77777777" w:rsidR="008E6675" w:rsidRPr="005638EB" w:rsidRDefault="008E6675" w:rsidP="005638EB">
            <w:pPr>
              <w:rPr>
                <w:rFonts w:ascii="Arial Narrow" w:hAnsi="Arial Narrow"/>
                <w:b/>
              </w:rPr>
            </w:pPr>
            <w:r w:rsidRPr="005638EB">
              <w:rPr>
                <w:rFonts w:ascii="Arial Narrow" w:hAnsi="Arial Narrow"/>
                <w:b/>
                <w:sz w:val="22"/>
              </w:rPr>
              <w:t>Welche Auswirkungen hat die Methode auf die Verweildauer im Krankenhaus?</w:t>
            </w:r>
          </w:p>
        </w:tc>
      </w:tr>
      <w:tr w:rsidR="008E6675" w:rsidRPr="005638EB" w14:paraId="5C15DE82" w14:textId="77777777">
        <w:trPr>
          <w:trHeight w:val="264"/>
        </w:trPr>
        <w:tc>
          <w:tcPr>
            <w:tcW w:w="9212" w:type="dxa"/>
          </w:tcPr>
          <w:p w14:paraId="19E75E35" w14:textId="7645A49A" w:rsidR="00A530BE" w:rsidRPr="005638EB" w:rsidRDefault="008E6675" w:rsidP="005638EB">
            <w:pPr>
              <w:rPr>
                <w:rFonts w:ascii="Arial Narrow" w:hAnsi="Arial Narrow"/>
              </w:rPr>
            </w:pPr>
            <w:r w:rsidRPr="005638EB">
              <w:rPr>
                <w:rFonts w:ascii="Arial Narrow" w:hAnsi="Arial Narrow"/>
                <w:sz w:val="22"/>
              </w:rPr>
              <w:t>Zur Veränderung der Verweildauer im Krankenhaus können derzeit aufgrund fehlender Erfahrungen keine Aussagen gemacht werden.</w:t>
            </w:r>
          </w:p>
        </w:tc>
      </w:tr>
    </w:tbl>
    <w:p w14:paraId="4E061776"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6BCFFEC8" w14:textId="77777777">
        <w:tc>
          <w:tcPr>
            <w:tcW w:w="9212" w:type="dxa"/>
          </w:tcPr>
          <w:p w14:paraId="5ABEFBD5" w14:textId="77777777" w:rsidR="008E6675" w:rsidRPr="005638EB" w:rsidRDefault="008E6675" w:rsidP="005638EB">
            <w:pPr>
              <w:rPr>
                <w:rFonts w:ascii="Arial Narrow" w:hAnsi="Arial Narrow"/>
                <w:b/>
              </w:rPr>
            </w:pPr>
            <w:r w:rsidRPr="005638EB">
              <w:rPr>
                <w:rFonts w:ascii="Arial Narrow" w:hAnsi="Arial Narrow"/>
                <w:b/>
                <w:sz w:val="22"/>
              </w:rPr>
              <w:t>Wann wurde diese Methode in Deutschland eingeführt?</w:t>
            </w:r>
          </w:p>
        </w:tc>
      </w:tr>
      <w:tr w:rsidR="008E6675" w:rsidRPr="007F255B" w14:paraId="0DF8F781" w14:textId="77777777">
        <w:tc>
          <w:tcPr>
            <w:tcW w:w="9212" w:type="dxa"/>
          </w:tcPr>
          <w:p w14:paraId="256E27C8" w14:textId="25832C11" w:rsidR="00D14350" w:rsidRPr="00422874" w:rsidRDefault="00A70A01" w:rsidP="00C112A6">
            <w:pPr>
              <w:rPr>
                <w:rFonts w:ascii="Arial Narrow" w:hAnsi="Arial Narrow"/>
                <w:sz w:val="22"/>
              </w:rPr>
            </w:pPr>
            <w:r w:rsidRPr="00A70A01">
              <w:rPr>
                <w:rFonts w:ascii="Arial Narrow" w:hAnsi="Arial Narrow"/>
                <w:sz w:val="22"/>
              </w:rPr>
              <w:t>15.12.2024</w:t>
            </w:r>
          </w:p>
        </w:tc>
      </w:tr>
    </w:tbl>
    <w:p w14:paraId="233BCD2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7DE956DB" w14:textId="77777777">
        <w:tc>
          <w:tcPr>
            <w:tcW w:w="9212" w:type="dxa"/>
          </w:tcPr>
          <w:p w14:paraId="483A4156" w14:textId="77777777" w:rsidR="008E6675" w:rsidRPr="005638EB" w:rsidRDefault="008E6675" w:rsidP="005638EB">
            <w:pPr>
              <w:rPr>
                <w:rFonts w:ascii="Arial Narrow" w:hAnsi="Arial Narrow"/>
                <w:b/>
              </w:rPr>
            </w:pPr>
            <w:r w:rsidRPr="005638EB">
              <w:rPr>
                <w:rFonts w:ascii="Arial Narrow" w:hAnsi="Arial Narrow"/>
                <w:b/>
                <w:sz w:val="22"/>
              </w:rPr>
              <w:t>Bei Medikamenten: Wann wurde dieses Medikament zugelassen?</w:t>
            </w:r>
          </w:p>
        </w:tc>
      </w:tr>
      <w:tr w:rsidR="008E6675" w:rsidRPr="00513E4F" w14:paraId="1264FF24" w14:textId="77777777">
        <w:tc>
          <w:tcPr>
            <w:tcW w:w="9212" w:type="dxa"/>
          </w:tcPr>
          <w:p w14:paraId="7BB60EDC" w14:textId="06DBD27F" w:rsidR="00044597" w:rsidRPr="00513E4F" w:rsidRDefault="00513E4F" w:rsidP="00C112A6">
            <w:pPr>
              <w:rPr>
                <w:rFonts w:ascii="Arial Narrow" w:hAnsi="Arial Narrow"/>
                <w:sz w:val="22"/>
              </w:rPr>
            </w:pPr>
            <w:r w:rsidRPr="00513E4F">
              <w:rPr>
                <w:rFonts w:ascii="Arial Narrow" w:hAnsi="Arial Narrow"/>
                <w:sz w:val="22"/>
              </w:rPr>
              <w:t>Die europäische Zulassung wurde am 14. November 2024 erteilt. Es handelt sich um ein Arzneimittel zur Behandlung eines seltenen Leidens (Orphan Drug</w:t>
            </w:r>
            <w:r>
              <w:rPr>
                <w:rFonts w:ascii="Arial Narrow" w:hAnsi="Arial Narrow"/>
                <w:sz w:val="22"/>
              </w:rPr>
              <w:t>)</w:t>
            </w:r>
            <w:r w:rsidR="00801196">
              <w:rPr>
                <w:rFonts w:ascii="Arial Narrow" w:hAnsi="Arial Narrow"/>
                <w:sz w:val="22"/>
              </w:rPr>
              <w:t>.</w:t>
            </w:r>
          </w:p>
        </w:tc>
      </w:tr>
    </w:tbl>
    <w:p w14:paraId="479CCD3D"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4374391" w14:textId="77777777">
        <w:tc>
          <w:tcPr>
            <w:tcW w:w="9212" w:type="dxa"/>
          </w:tcPr>
          <w:p w14:paraId="657A69BC" w14:textId="77777777" w:rsidR="008E6675" w:rsidRPr="005638EB" w:rsidRDefault="008E6675" w:rsidP="005638EB">
            <w:pPr>
              <w:rPr>
                <w:rFonts w:ascii="Arial Narrow" w:hAnsi="Arial Narrow"/>
                <w:b/>
              </w:rPr>
            </w:pPr>
            <w:r w:rsidRPr="005638EB">
              <w:rPr>
                <w:rFonts w:ascii="Arial Narrow" w:hAnsi="Arial Narrow"/>
                <w:b/>
                <w:sz w:val="22"/>
              </w:rPr>
              <w:t xml:space="preserve">Wann wurde </w:t>
            </w:r>
            <w:r w:rsidR="002333FF">
              <w:rPr>
                <w:rFonts w:ascii="Arial Narrow" w:hAnsi="Arial Narrow"/>
                <w:b/>
                <w:sz w:val="22"/>
              </w:rPr>
              <w:t xml:space="preserve">bzw. wird </w:t>
            </w:r>
            <w:r w:rsidRPr="005638EB">
              <w:rPr>
                <w:rFonts w:ascii="Arial Narrow" w:hAnsi="Arial Narrow"/>
                <w:b/>
                <w:sz w:val="22"/>
              </w:rPr>
              <w:t>die Methode in Ihrem Krankenhaus eingeführt?</w:t>
            </w:r>
          </w:p>
        </w:tc>
      </w:tr>
      <w:tr w:rsidR="008E6675" w:rsidRPr="005638EB" w14:paraId="4BC61AB6" w14:textId="77777777">
        <w:tc>
          <w:tcPr>
            <w:tcW w:w="9212" w:type="dxa"/>
          </w:tcPr>
          <w:p w14:paraId="7727C539" w14:textId="77777777" w:rsidR="008E6675" w:rsidRPr="005638EB" w:rsidRDefault="00983554" w:rsidP="005638EB">
            <w:pPr>
              <w:rPr>
                <w:rFonts w:ascii="Arial Narrow" w:hAnsi="Arial Narrow"/>
              </w:rPr>
            </w:pPr>
            <w:r w:rsidRPr="00983554">
              <w:rPr>
                <w:rFonts w:ascii="Arial Narrow" w:hAnsi="Arial Narrow"/>
                <w:sz w:val="22"/>
                <w:highlight w:val="yellow"/>
              </w:rPr>
              <w:t>[bitte ergänzen]</w:t>
            </w:r>
          </w:p>
        </w:tc>
      </w:tr>
    </w:tbl>
    <w:p w14:paraId="09FB8D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3D6635CC" w14:textId="77777777">
        <w:tc>
          <w:tcPr>
            <w:tcW w:w="9212" w:type="dxa"/>
          </w:tcPr>
          <w:p w14:paraId="126EBD70" w14:textId="77777777" w:rsidR="008E6675" w:rsidRPr="005638EB" w:rsidRDefault="008E6675" w:rsidP="005638EB">
            <w:pPr>
              <w:rPr>
                <w:rFonts w:ascii="Arial Narrow" w:hAnsi="Arial Narrow"/>
                <w:b/>
              </w:rPr>
            </w:pPr>
            <w:r w:rsidRPr="005638EB">
              <w:rPr>
                <w:rFonts w:ascii="Arial Narrow" w:hAnsi="Arial Narrow"/>
                <w:b/>
                <w:sz w:val="22"/>
              </w:rPr>
              <w:t>In wie vielen Kliniken wird diese Methode derzeit eingesetzt (Schätzung)?</w:t>
            </w:r>
          </w:p>
        </w:tc>
      </w:tr>
      <w:tr w:rsidR="008E6675" w:rsidRPr="005638EB" w14:paraId="4C00526F" w14:textId="77777777">
        <w:tc>
          <w:tcPr>
            <w:tcW w:w="9212" w:type="dxa"/>
          </w:tcPr>
          <w:p w14:paraId="21DD9094" w14:textId="0BA8B709" w:rsidR="00C112A6" w:rsidRPr="005638EB" w:rsidRDefault="00A64D6E" w:rsidP="00C112A6">
            <w:pPr>
              <w:rPr>
                <w:rFonts w:ascii="Arial Narrow" w:hAnsi="Arial Narrow"/>
              </w:rPr>
            </w:pPr>
            <w:r w:rsidRPr="00A64D6E">
              <w:rPr>
                <w:rFonts w:ascii="Arial Narrow" w:hAnsi="Arial Narrow"/>
                <w:sz w:val="22"/>
              </w:rPr>
              <w:t xml:space="preserve">Mirvetuximab-Soravtansin wird in ca. </w:t>
            </w:r>
            <w:r w:rsidR="00A51D3D">
              <w:rPr>
                <w:rFonts w:ascii="Arial Narrow" w:hAnsi="Arial Narrow"/>
                <w:sz w:val="22"/>
              </w:rPr>
              <w:t>394</w:t>
            </w:r>
            <w:r w:rsidR="00A51D3D" w:rsidRPr="00A64D6E">
              <w:rPr>
                <w:rFonts w:ascii="Arial Narrow" w:hAnsi="Arial Narrow"/>
                <w:sz w:val="22"/>
              </w:rPr>
              <w:t xml:space="preserve"> </w:t>
            </w:r>
            <w:r w:rsidRPr="00A64D6E">
              <w:rPr>
                <w:rFonts w:ascii="Arial Narrow" w:hAnsi="Arial Narrow"/>
                <w:sz w:val="22"/>
              </w:rPr>
              <w:t>Kliniken in Deutschland eingesetzt (Schätzung aufgrund der NUB-Anfragen des Vorjahres)</w:t>
            </w:r>
            <w:r w:rsidR="001701FA">
              <w:rPr>
                <w:rFonts w:ascii="Arial Narrow" w:hAnsi="Arial Narrow"/>
                <w:sz w:val="22"/>
              </w:rPr>
              <w:t>.</w:t>
            </w:r>
          </w:p>
        </w:tc>
      </w:tr>
    </w:tbl>
    <w:p w14:paraId="43674FE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2BCF6BA3" w14:textId="77777777">
        <w:tc>
          <w:tcPr>
            <w:tcW w:w="9212" w:type="dxa"/>
          </w:tcPr>
          <w:p w14:paraId="6D713A1D" w14:textId="0D5B1E11" w:rsidR="008E6675" w:rsidRPr="005638EB" w:rsidRDefault="008E6675" w:rsidP="00285AE4">
            <w:pPr>
              <w:rPr>
                <w:rFonts w:ascii="Arial Narrow" w:hAnsi="Arial Narrow"/>
              </w:rPr>
            </w:pPr>
            <w:r w:rsidRPr="008C1686">
              <w:rPr>
                <w:rFonts w:ascii="Arial Narrow" w:hAnsi="Arial Narrow"/>
                <w:b/>
                <w:sz w:val="22"/>
              </w:rPr>
              <w:t>Wie viele Patienten wur</w:t>
            </w:r>
            <w:r w:rsidR="000953D2">
              <w:rPr>
                <w:rFonts w:ascii="Arial Narrow" w:hAnsi="Arial Narrow"/>
                <w:b/>
                <w:sz w:val="22"/>
              </w:rPr>
              <w:t>den in Ihrem Krankenhaus in 202</w:t>
            </w:r>
            <w:r w:rsidR="00BC47BA">
              <w:rPr>
                <w:rFonts w:ascii="Arial Narrow" w:hAnsi="Arial Narrow"/>
                <w:b/>
                <w:sz w:val="22"/>
              </w:rPr>
              <w:t>5</w:t>
            </w:r>
            <w:r w:rsidR="000953D2">
              <w:rPr>
                <w:rFonts w:ascii="Arial Narrow" w:hAnsi="Arial Narrow"/>
                <w:b/>
                <w:sz w:val="22"/>
              </w:rPr>
              <w:t xml:space="preserve"> oder in 202</w:t>
            </w:r>
            <w:r w:rsidR="003E21E9">
              <w:rPr>
                <w:rFonts w:ascii="Arial Narrow" w:hAnsi="Arial Narrow"/>
                <w:b/>
                <w:sz w:val="22"/>
              </w:rPr>
              <w:t>6</w:t>
            </w:r>
            <w:r w:rsidRPr="008C1686">
              <w:rPr>
                <w:rFonts w:ascii="Arial Narrow" w:hAnsi="Arial Narrow"/>
                <w:b/>
                <w:sz w:val="22"/>
              </w:rPr>
              <w:t xml:space="preserve"> mit dieser Methode behandelt?</w:t>
            </w:r>
          </w:p>
        </w:tc>
      </w:tr>
      <w:tr w:rsidR="008E6675" w:rsidRPr="00AB10BF" w14:paraId="5CCFBAD3" w14:textId="77777777">
        <w:tc>
          <w:tcPr>
            <w:tcW w:w="9212" w:type="dxa"/>
          </w:tcPr>
          <w:p w14:paraId="4F6124DB" w14:textId="7B9D37EE"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1073E2">
              <w:rPr>
                <w:rFonts w:ascii="Arial Narrow" w:hAnsi="Arial Narrow"/>
                <w:sz w:val="22"/>
              </w:rPr>
              <w:t>5</w:t>
            </w:r>
          </w:p>
        </w:tc>
      </w:tr>
      <w:tr w:rsidR="00983554" w:rsidRPr="005638EB" w14:paraId="1992E6A2" w14:textId="77777777">
        <w:tc>
          <w:tcPr>
            <w:tcW w:w="9212" w:type="dxa"/>
          </w:tcPr>
          <w:p w14:paraId="283F259E"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r w:rsidR="008E6675" w:rsidRPr="00AB10BF" w14:paraId="175E4977" w14:textId="77777777">
        <w:tc>
          <w:tcPr>
            <w:tcW w:w="9212" w:type="dxa"/>
          </w:tcPr>
          <w:p w14:paraId="33A68C3A" w14:textId="5977A9C8" w:rsidR="008E6675" w:rsidRPr="00AB10BF" w:rsidRDefault="008E6675" w:rsidP="00285AE4">
            <w:pPr>
              <w:rPr>
                <w:rFonts w:ascii="Arial Narrow" w:hAnsi="Arial Narrow"/>
                <w:sz w:val="22"/>
              </w:rPr>
            </w:pPr>
            <w:r w:rsidRPr="00AB10BF">
              <w:rPr>
                <w:rFonts w:ascii="Arial Narrow" w:hAnsi="Arial Narrow"/>
                <w:sz w:val="22"/>
              </w:rPr>
              <w:t xml:space="preserve">In </w:t>
            </w:r>
            <w:r w:rsidR="000953D2" w:rsidRPr="00AB10BF">
              <w:rPr>
                <w:rFonts w:ascii="Arial Narrow" w:hAnsi="Arial Narrow"/>
                <w:sz w:val="22"/>
              </w:rPr>
              <w:t>202</w:t>
            </w:r>
            <w:r w:rsidR="00970724">
              <w:rPr>
                <w:rFonts w:ascii="Arial Narrow" w:hAnsi="Arial Narrow"/>
                <w:sz w:val="22"/>
              </w:rPr>
              <w:t>6</w:t>
            </w:r>
          </w:p>
        </w:tc>
      </w:tr>
      <w:tr w:rsidR="00983554" w:rsidRPr="005638EB" w14:paraId="6BABCFC8" w14:textId="77777777">
        <w:tc>
          <w:tcPr>
            <w:tcW w:w="9212" w:type="dxa"/>
          </w:tcPr>
          <w:p w14:paraId="17351D25"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bl>
    <w:p w14:paraId="394F2677"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9B8805A" w14:textId="77777777">
        <w:tc>
          <w:tcPr>
            <w:tcW w:w="9212" w:type="dxa"/>
          </w:tcPr>
          <w:p w14:paraId="2C8371FB" w14:textId="0C9A3F08" w:rsidR="008E6675" w:rsidRPr="005638EB" w:rsidRDefault="008E6675" w:rsidP="00285AE4">
            <w:pPr>
              <w:rPr>
                <w:rFonts w:ascii="Arial Narrow" w:hAnsi="Arial Narrow"/>
              </w:rPr>
            </w:pPr>
            <w:r w:rsidRPr="008C1686">
              <w:rPr>
                <w:rFonts w:ascii="Arial Narrow" w:hAnsi="Arial Narrow"/>
                <w:b/>
                <w:sz w:val="22"/>
              </w:rPr>
              <w:t>Wie</w:t>
            </w:r>
            <w:r w:rsidR="00D443BB">
              <w:rPr>
                <w:rFonts w:ascii="Arial Narrow" w:hAnsi="Arial Narrow"/>
                <w:b/>
                <w:sz w:val="22"/>
              </w:rPr>
              <w:t xml:space="preserve"> </w:t>
            </w:r>
            <w:r w:rsidRPr="008C1686">
              <w:rPr>
                <w:rFonts w:ascii="Arial Narrow" w:hAnsi="Arial Narrow"/>
                <w:b/>
                <w:sz w:val="22"/>
              </w:rPr>
              <w:t>viele P</w:t>
            </w:r>
            <w:r w:rsidR="00A530BE">
              <w:rPr>
                <w:rFonts w:ascii="Arial Narrow" w:hAnsi="Arial Narrow"/>
                <w:b/>
                <w:sz w:val="22"/>
              </w:rPr>
              <w:t>atienten planen Sie im Jahr 20</w:t>
            </w:r>
            <w:r w:rsidR="000953D2">
              <w:rPr>
                <w:rFonts w:ascii="Arial Narrow" w:hAnsi="Arial Narrow"/>
                <w:b/>
                <w:sz w:val="22"/>
              </w:rPr>
              <w:t>2</w:t>
            </w:r>
            <w:r w:rsidR="00F75470">
              <w:rPr>
                <w:rFonts w:ascii="Arial Narrow" w:hAnsi="Arial Narrow"/>
                <w:b/>
                <w:sz w:val="22"/>
              </w:rPr>
              <w:t>7</w:t>
            </w:r>
            <w:r w:rsidRPr="008C1686">
              <w:rPr>
                <w:rFonts w:ascii="Arial Narrow" w:hAnsi="Arial Narrow"/>
                <w:b/>
                <w:sz w:val="22"/>
              </w:rPr>
              <w:t xml:space="preserve"> mit dieser Methode zu behandeln?</w:t>
            </w:r>
          </w:p>
        </w:tc>
      </w:tr>
      <w:tr w:rsidR="00983554" w:rsidRPr="005638EB" w14:paraId="742C5EF0" w14:textId="77777777">
        <w:tc>
          <w:tcPr>
            <w:tcW w:w="9212" w:type="dxa"/>
          </w:tcPr>
          <w:p w14:paraId="4620D230" w14:textId="77777777" w:rsidR="00983554" w:rsidRPr="005638EB" w:rsidRDefault="00983554" w:rsidP="0036178C">
            <w:pPr>
              <w:rPr>
                <w:rFonts w:ascii="Arial Narrow" w:hAnsi="Arial Narrow"/>
              </w:rPr>
            </w:pPr>
            <w:r w:rsidRPr="00983554">
              <w:rPr>
                <w:rFonts w:ascii="Arial Narrow" w:hAnsi="Arial Narrow"/>
                <w:sz w:val="22"/>
                <w:highlight w:val="yellow"/>
              </w:rPr>
              <w:t>[bitte ergänzen]</w:t>
            </w:r>
          </w:p>
        </w:tc>
      </w:tr>
    </w:tbl>
    <w:p w14:paraId="654325C8" w14:textId="77777777" w:rsidR="008E6675" w:rsidRPr="005638EB" w:rsidRDefault="008E6675" w:rsidP="005638EB">
      <w:pPr>
        <w:rPr>
          <w:rFonts w:ascii="Arial Narrow" w:hAnsi="Arial Narrow"/>
          <w:sz w:val="22"/>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4A6A805" w14:textId="77777777">
        <w:tc>
          <w:tcPr>
            <w:tcW w:w="9212" w:type="dxa"/>
          </w:tcPr>
          <w:p w14:paraId="5C0D4897" w14:textId="77777777" w:rsidR="008E6675" w:rsidRPr="005638EB" w:rsidRDefault="008E6675" w:rsidP="005638EB">
            <w:pPr>
              <w:rPr>
                <w:rFonts w:ascii="Arial Narrow" w:hAnsi="Arial Narrow"/>
              </w:rPr>
            </w:pPr>
            <w:r w:rsidRPr="008C1686">
              <w:rPr>
                <w:rFonts w:ascii="Arial Narrow" w:hAnsi="Arial Narrow"/>
                <w:b/>
                <w:sz w:val="22"/>
              </w:rPr>
              <w:t>Entstehen durch die neue Methode Mehrkosten gegenüber dem bisher üblichen Verfahren? Wenn ja, wodurch? In welcher Höhe (möglichst aufgetrennt nach Personal- und Sachkosten)?</w:t>
            </w:r>
          </w:p>
        </w:tc>
      </w:tr>
      <w:tr w:rsidR="008E6675" w:rsidRPr="00A64D6E" w14:paraId="169DFC57" w14:textId="77777777">
        <w:tc>
          <w:tcPr>
            <w:tcW w:w="9212" w:type="dxa"/>
          </w:tcPr>
          <w:p w14:paraId="2E5A2499" w14:textId="77777777" w:rsidR="00B31C90" w:rsidRPr="00B31C90" w:rsidRDefault="00B31C90" w:rsidP="00B31C90">
            <w:pPr>
              <w:rPr>
                <w:rFonts w:ascii="Arial Narrow" w:hAnsi="Arial Narrow"/>
                <w:sz w:val="22"/>
              </w:rPr>
            </w:pPr>
            <w:r w:rsidRPr="00B31C90">
              <w:rPr>
                <w:rFonts w:ascii="Arial Narrow" w:hAnsi="Arial Narrow"/>
                <w:sz w:val="22"/>
              </w:rPr>
              <w:t>Der Apothekenabgabepreis (AVP) von Mirvetuximab-Soravtansin (PZN 19448080) liegt bei 2.597,92 € (inkl. MWSt.)</w:t>
            </w:r>
          </w:p>
          <w:p w14:paraId="533ABF9F" w14:textId="77777777" w:rsidR="00B31C90" w:rsidRPr="00B31C90" w:rsidRDefault="00B31C90" w:rsidP="00B31C90">
            <w:pPr>
              <w:rPr>
                <w:rFonts w:ascii="Arial Narrow" w:hAnsi="Arial Narrow"/>
                <w:sz w:val="22"/>
              </w:rPr>
            </w:pPr>
            <w:r w:rsidRPr="00B31C90">
              <w:rPr>
                <w:rFonts w:ascii="Arial Narrow" w:hAnsi="Arial Narrow"/>
                <w:sz w:val="22"/>
              </w:rPr>
              <w:t>Quelle: LAUER-TAXE® Online 4.0, Stand 01.08.2026. Zugriff 11.08.2026</w:t>
            </w:r>
          </w:p>
          <w:p w14:paraId="0FD61FE4" w14:textId="77777777" w:rsidR="00B31C90" w:rsidRPr="00B31C90" w:rsidRDefault="00B31C90" w:rsidP="00B31C90">
            <w:pPr>
              <w:rPr>
                <w:rFonts w:ascii="Arial Narrow" w:hAnsi="Arial Narrow"/>
                <w:sz w:val="22"/>
              </w:rPr>
            </w:pPr>
          </w:p>
          <w:p w14:paraId="24921B3D" w14:textId="77777777" w:rsidR="00B31C90" w:rsidRPr="00B31C90" w:rsidRDefault="00B31C90" w:rsidP="00B31C90">
            <w:pPr>
              <w:rPr>
                <w:rFonts w:ascii="Arial Narrow" w:hAnsi="Arial Narrow"/>
                <w:sz w:val="22"/>
              </w:rPr>
            </w:pPr>
            <w:r w:rsidRPr="00B31C90">
              <w:rPr>
                <w:rFonts w:ascii="Arial Narrow" w:hAnsi="Arial Narrow"/>
                <w:sz w:val="22"/>
              </w:rPr>
              <w:t xml:space="preserve">Aus dem Beschluss zur Nutzenbewertung des G-BA zu Mirvetuximab-Soravtansin ergibt sich eine empfohlene Dosierung von 6 mg/kg angepasstes Idealkörpergewicht (AIBW) alle drei Wochen (21-Tage-Zyklus) als </w:t>
            </w:r>
            <w:r w:rsidRPr="00B31C90">
              <w:rPr>
                <w:rFonts w:ascii="Arial Narrow" w:hAnsi="Arial Narrow"/>
                <w:sz w:val="22"/>
              </w:rPr>
              <w:lastRenderedPageBreak/>
              <w:t xml:space="preserve">intravenöse Infusion. Die Behandlung wird bis zum Fortschreiten der Erkrankung oder dem Auftreten einer inakzeptablen Toxizität fortgeführt. Damit ergeben sich die folgenden Kosten: </w:t>
            </w:r>
          </w:p>
          <w:p w14:paraId="142BA97C" w14:textId="77777777" w:rsidR="00B31C90" w:rsidRPr="00B31C90" w:rsidRDefault="00B31C90" w:rsidP="00B31C90">
            <w:pPr>
              <w:rPr>
                <w:rFonts w:ascii="Arial Narrow" w:hAnsi="Arial Narrow"/>
                <w:sz w:val="22"/>
              </w:rPr>
            </w:pPr>
            <w:r w:rsidRPr="00B31C90">
              <w:rPr>
                <w:rFonts w:ascii="Arial Narrow" w:hAnsi="Arial Narrow"/>
                <w:sz w:val="22"/>
              </w:rPr>
              <w:t xml:space="preserve">Sachkosten: </w:t>
            </w:r>
          </w:p>
          <w:p w14:paraId="6A11C7F8" w14:textId="77777777" w:rsidR="00B31C90" w:rsidRPr="00B31C90" w:rsidRDefault="00B31C90" w:rsidP="00B31C90">
            <w:pPr>
              <w:rPr>
                <w:rFonts w:ascii="Arial Narrow" w:hAnsi="Arial Narrow"/>
                <w:sz w:val="22"/>
              </w:rPr>
            </w:pPr>
            <w:r w:rsidRPr="00B31C90">
              <w:rPr>
                <w:rFonts w:ascii="Arial Narrow" w:hAnsi="Arial Narrow"/>
                <w:sz w:val="22"/>
              </w:rPr>
              <w:t xml:space="preserve">Die Dosierung von Mirvetuximab-Soravtansin basiert auf dem angepassten Idealkörpergewicht (AIBW), das nach nachfolgender Formel berechnet wird: </w:t>
            </w:r>
          </w:p>
          <w:p w14:paraId="473171B3" w14:textId="77777777" w:rsidR="00B31C90" w:rsidRPr="00B31C90" w:rsidRDefault="00B31C90" w:rsidP="00B31C90">
            <w:pPr>
              <w:rPr>
                <w:rFonts w:ascii="Arial Narrow" w:hAnsi="Arial Narrow"/>
                <w:sz w:val="22"/>
              </w:rPr>
            </w:pPr>
            <w:r w:rsidRPr="00B31C90">
              <w:rPr>
                <w:rFonts w:ascii="Arial Narrow" w:hAnsi="Arial Narrow"/>
                <w:sz w:val="22"/>
              </w:rPr>
              <w:t>IBW [kg] = 0,9 × Körpergröße [cm] – 92</w:t>
            </w:r>
          </w:p>
          <w:p w14:paraId="4EE3BC7D" w14:textId="77777777" w:rsidR="00B31C90" w:rsidRPr="00B31C90" w:rsidRDefault="00B31C90" w:rsidP="00B31C90">
            <w:pPr>
              <w:rPr>
                <w:rFonts w:ascii="Arial Narrow" w:hAnsi="Arial Narrow"/>
                <w:sz w:val="22"/>
              </w:rPr>
            </w:pPr>
            <w:r w:rsidRPr="00B31C90">
              <w:rPr>
                <w:rFonts w:ascii="Arial Narrow" w:hAnsi="Arial Narrow"/>
                <w:sz w:val="22"/>
              </w:rPr>
              <w:t>AIBW = IBW [kg] + 0,4 × (tatsächliches Gewicht [kg] – IBW)</w:t>
            </w:r>
          </w:p>
          <w:p w14:paraId="11C2E6CC" w14:textId="77777777" w:rsidR="00B31C90" w:rsidRPr="00B31C90" w:rsidRDefault="00B31C90" w:rsidP="00B31C90">
            <w:pPr>
              <w:rPr>
                <w:rFonts w:ascii="Arial Narrow" w:hAnsi="Arial Narrow"/>
                <w:sz w:val="22"/>
              </w:rPr>
            </w:pPr>
            <w:r w:rsidRPr="00B31C90">
              <w:rPr>
                <w:rFonts w:ascii="Arial Narrow" w:hAnsi="Arial Narrow"/>
                <w:sz w:val="22"/>
              </w:rPr>
              <w:t xml:space="preserve">Beispiel: Bei 165 cm Körpergröße und 80 kg Gewicht ergibt sich ein AIBW von 65,9 kg (IBW = 0,9 × 165 – 92 = 56,5 kg; AIBW = 56,5 + 0,4 × (80 – 56,5) = 65,9 kg). </w:t>
            </w:r>
          </w:p>
          <w:p w14:paraId="7D1CDC59" w14:textId="77777777" w:rsidR="00B31C90" w:rsidRPr="00B31C90" w:rsidRDefault="00B31C90" w:rsidP="00B31C90">
            <w:pPr>
              <w:rPr>
                <w:rFonts w:ascii="Arial Narrow" w:hAnsi="Arial Narrow"/>
                <w:sz w:val="22"/>
              </w:rPr>
            </w:pPr>
            <w:r w:rsidRPr="00B31C90">
              <w:rPr>
                <w:rFonts w:ascii="Arial Narrow" w:hAnsi="Arial Narrow"/>
                <w:sz w:val="22"/>
              </w:rPr>
              <w:t>6 mg x 65,9 = 395,4 mg pro Zyklus entspricht je 4 Durchstechflaschen à 100 mg</w:t>
            </w:r>
          </w:p>
          <w:p w14:paraId="573E4408" w14:textId="77777777" w:rsidR="00B31C90" w:rsidRPr="00B31C90" w:rsidRDefault="00B31C90" w:rsidP="00B31C90">
            <w:pPr>
              <w:rPr>
                <w:rFonts w:ascii="Arial Narrow" w:hAnsi="Arial Narrow"/>
                <w:sz w:val="22"/>
              </w:rPr>
            </w:pPr>
            <w:r w:rsidRPr="00B31C90">
              <w:rPr>
                <w:rFonts w:ascii="Arial Narrow" w:hAnsi="Arial Narrow"/>
                <w:sz w:val="22"/>
              </w:rPr>
              <w:t>AVP 2.597,92 € für 100 mg (Infusionslösungskonzentrat, Lauertaxe, Stand 01.08.2026, PZN: 19448080, Preis inkl. MWSt.) x 4 = 10.391,68 € pro Zyklus während des 7-tägigen stationären Aufenthaltes</w:t>
            </w:r>
          </w:p>
          <w:p w14:paraId="0AC4D0EF" w14:textId="77777777" w:rsidR="00B31C90" w:rsidRPr="00B31C90" w:rsidRDefault="00B31C90" w:rsidP="00B31C90">
            <w:pPr>
              <w:rPr>
                <w:rFonts w:ascii="Arial Narrow" w:hAnsi="Arial Narrow"/>
                <w:sz w:val="22"/>
              </w:rPr>
            </w:pPr>
            <w:r w:rsidRPr="00B31C90">
              <w:rPr>
                <w:rFonts w:ascii="Arial Narrow" w:hAnsi="Arial Narrow"/>
                <w:sz w:val="22"/>
              </w:rPr>
              <w:t>Die Arzneimittelkosten belaufen sich pro Aufenthalt auf 10.391,68 Euro.</w:t>
            </w:r>
          </w:p>
          <w:p w14:paraId="3B901520" w14:textId="77777777" w:rsidR="00B31C90" w:rsidRPr="00B31C90" w:rsidRDefault="00B31C90" w:rsidP="00B31C90">
            <w:pPr>
              <w:rPr>
                <w:rFonts w:ascii="Arial Narrow" w:hAnsi="Arial Narrow"/>
                <w:sz w:val="22"/>
              </w:rPr>
            </w:pPr>
          </w:p>
          <w:p w14:paraId="21873E39" w14:textId="77777777" w:rsidR="00B31C90" w:rsidRPr="00B31C90" w:rsidRDefault="00B31C90" w:rsidP="00B31C90">
            <w:pPr>
              <w:rPr>
                <w:rFonts w:ascii="Arial Narrow" w:hAnsi="Arial Narrow"/>
                <w:sz w:val="22"/>
              </w:rPr>
            </w:pPr>
            <w:r w:rsidRPr="00B31C90">
              <w:rPr>
                <w:rFonts w:ascii="Arial Narrow" w:hAnsi="Arial Narrow"/>
                <w:sz w:val="22"/>
              </w:rPr>
              <w:t xml:space="preserve">Personalkosten: </w:t>
            </w:r>
          </w:p>
          <w:p w14:paraId="5C6AE320" w14:textId="77777777" w:rsidR="00B31C90" w:rsidRPr="00B31C90" w:rsidRDefault="00B31C90" w:rsidP="00B31C90">
            <w:pPr>
              <w:rPr>
                <w:rFonts w:ascii="Arial Narrow" w:hAnsi="Arial Narrow"/>
                <w:sz w:val="22"/>
              </w:rPr>
            </w:pPr>
          </w:p>
          <w:p w14:paraId="0B983B57" w14:textId="77777777" w:rsidR="00B31C90" w:rsidRPr="00B31C90" w:rsidRDefault="00B31C90" w:rsidP="00B31C90">
            <w:pPr>
              <w:rPr>
                <w:rFonts w:ascii="Arial Narrow" w:hAnsi="Arial Narrow"/>
                <w:sz w:val="22"/>
              </w:rPr>
            </w:pPr>
            <w:r w:rsidRPr="00B31C90">
              <w:rPr>
                <w:rFonts w:ascii="Arial Narrow" w:hAnsi="Arial Narrow"/>
                <w:sz w:val="22"/>
              </w:rPr>
              <w:t xml:space="preserve">Für die Zubereitung: ca. 10 Minuten (MTD-Apotheke) </w:t>
            </w:r>
          </w:p>
          <w:p w14:paraId="6A291D9E" w14:textId="77777777" w:rsidR="00B31C90" w:rsidRPr="00B31C90" w:rsidRDefault="00B31C90" w:rsidP="00B31C90">
            <w:pPr>
              <w:rPr>
                <w:rFonts w:ascii="Arial Narrow" w:hAnsi="Arial Narrow"/>
                <w:sz w:val="22"/>
              </w:rPr>
            </w:pPr>
            <w:r w:rsidRPr="00B31C90">
              <w:rPr>
                <w:rFonts w:ascii="Arial Narrow" w:hAnsi="Arial Narrow"/>
                <w:sz w:val="22"/>
              </w:rPr>
              <w:t xml:space="preserve">Für die Applikation: ca. 5 Minuten (ÄD) und ca. 5 Minuten (PD) </w:t>
            </w:r>
          </w:p>
          <w:p w14:paraId="7D03D20B" w14:textId="46622C43" w:rsidR="00156FE0" w:rsidRPr="00A64D6E" w:rsidRDefault="00B31C90" w:rsidP="00B31C90">
            <w:pPr>
              <w:rPr>
                <w:rFonts w:ascii="Arial Narrow" w:hAnsi="Arial Narrow"/>
                <w:sz w:val="22"/>
              </w:rPr>
            </w:pPr>
            <w:r w:rsidRPr="00B31C90">
              <w:rPr>
                <w:rFonts w:ascii="Arial Narrow" w:hAnsi="Arial Narrow"/>
                <w:sz w:val="22"/>
              </w:rPr>
              <w:t>Für die Überwachung: ca. 30 Minuten (PD), ca. 10 Minuten (ÄD)</w:t>
            </w:r>
          </w:p>
        </w:tc>
      </w:tr>
    </w:tbl>
    <w:p w14:paraId="45E65153"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0D84EF57" w14:textId="77777777">
        <w:tc>
          <w:tcPr>
            <w:tcW w:w="9212" w:type="dxa"/>
          </w:tcPr>
          <w:p w14:paraId="2FCAAE14" w14:textId="77777777" w:rsidR="008E6675" w:rsidRPr="005638EB" w:rsidRDefault="008E6675" w:rsidP="005638EB">
            <w:pPr>
              <w:rPr>
                <w:rFonts w:ascii="Arial Narrow" w:hAnsi="Arial Narrow"/>
              </w:rPr>
            </w:pPr>
            <w:r w:rsidRPr="008C1686">
              <w:rPr>
                <w:rFonts w:ascii="Arial Narrow" w:hAnsi="Arial Narrow"/>
                <w:b/>
                <w:sz w:val="22"/>
              </w:rPr>
              <w:t>Welche DRG(s) ist/sind am häufigsten von dieser Methode betroffen?</w:t>
            </w:r>
          </w:p>
        </w:tc>
      </w:tr>
      <w:tr w:rsidR="008E6675" w:rsidRPr="00902F1B" w14:paraId="56F9F66E" w14:textId="77777777">
        <w:tc>
          <w:tcPr>
            <w:tcW w:w="9212" w:type="dxa"/>
          </w:tcPr>
          <w:p w14:paraId="66222955" w14:textId="77777777" w:rsidR="00840F8C" w:rsidRPr="00840F8C" w:rsidRDefault="00840F8C" w:rsidP="00840F8C">
            <w:pPr>
              <w:rPr>
                <w:rFonts w:ascii="Arial Narrow" w:hAnsi="Arial Narrow"/>
                <w:sz w:val="22"/>
              </w:rPr>
            </w:pPr>
            <w:r w:rsidRPr="00840F8C">
              <w:rPr>
                <w:rFonts w:ascii="Arial Narrow" w:hAnsi="Arial Narrow"/>
                <w:sz w:val="22"/>
              </w:rPr>
              <w:t>N60B</w:t>
            </w:r>
          </w:p>
          <w:p w14:paraId="47989D5C" w14:textId="77777777" w:rsidR="00840F8C" w:rsidRPr="00840F8C" w:rsidRDefault="00840F8C" w:rsidP="00840F8C">
            <w:pPr>
              <w:rPr>
                <w:rFonts w:ascii="Arial Narrow" w:hAnsi="Arial Narrow"/>
                <w:sz w:val="22"/>
              </w:rPr>
            </w:pPr>
            <w:r w:rsidRPr="00840F8C">
              <w:rPr>
                <w:rFonts w:ascii="Arial Narrow" w:hAnsi="Arial Narrow"/>
                <w:sz w:val="22"/>
              </w:rPr>
              <w:t>N02C</w:t>
            </w:r>
          </w:p>
          <w:p w14:paraId="3FDE8751" w14:textId="44D9B973" w:rsidR="00E55480" w:rsidRPr="00902F1B" w:rsidRDefault="00840F8C" w:rsidP="00840F8C">
            <w:pPr>
              <w:rPr>
                <w:rFonts w:ascii="Arial Narrow" w:hAnsi="Arial Narrow"/>
                <w:sz w:val="22"/>
              </w:rPr>
            </w:pPr>
            <w:r w:rsidRPr="00840F8C">
              <w:rPr>
                <w:rFonts w:ascii="Arial Narrow" w:hAnsi="Arial Narrow"/>
                <w:sz w:val="22"/>
              </w:rPr>
              <w:t>N02D</w:t>
            </w:r>
          </w:p>
        </w:tc>
      </w:tr>
    </w:tbl>
    <w:p w14:paraId="4E6FC927" w14:textId="77777777" w:rsidR="008E6675" w:rsidRPr="005638EB" w:rsidRDefault="008E6675" w:rsidP="005638EB">
      <w:pPr>
        <w:rPr>
          <w:rFonts w:ascii="Arial Narrow" w:hAnsi="Arial Narrow"/>
          <w:b/>
        </w:rPr>
      </w:pPr>
    </w:p>
    <w:tbl>
      <w:tblPr>
        <w:tblStyle w:val="TableNormal1"/>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212"/>
      </w:tblGrid>
      <w:tr w:rsidR="008E6675" w:rsidRPr="005638EB" w14:paraId="4E9DF4AB" w14:textId="77777777" w:rsidTr="52881F92">
        <w:tc>
          <w:tcPr>
            <w:tcW w:w="9212" w:type="dxa"/>
          </w:tcPr>
          <w:p w14:paraId="3184CC4A" w14:textId="77777777" w:rsidR="008E6675" w:rsidRPr="005638EB" w:rsidRDefault="008E6675" w:rsidP="005638EB">
            <w:pPr>
              <w:rPr>
                <w:rFonts w:ascii="Arial Narrow" w:hAnsi="Arial Narrow"/>
              </w:rPr>
            </w:pPr>
            <w:r w:rsidRPr="008C1686">
              <w:rPr>
                <w:rFonts w:ascii="Arial Narrow" w:hAnsi="Arial Narrow"/>
                <w:b/>
                <w:sz w:val="22"/>
              </w:rPr>
              <w:t>Warum ist diese Methode aus Ihrer Sicht derzeit im G-DRG-System nicht sachgerecht abgebildet?</w:t>
            </w:r>
          </w:p>
        </w:tc>
      </w:tr>
      <w:tr w:rsidR="008E6675" w:rsidRPr="00BA64AA" w14:paraId="3100E4A7" w14:textId="77777777" w:rsidTr="52881F92">
        <w:tc>
          <w:tcPr>
            <w:tcW w:w="9212" w:type="dxa"/>
          </w:tcPr>
          <w:p w14:paraId="61331FDC" w14:textId="77777777" w:rsidR="00C56A72" w:rsidRPr="00C56A72" w:rsidRDefault="00C56A72" w:rsidP="00C56A72">
            <w:pPr>
              <w:rPr>
                <w:rFonts w:ascii="Arial Narrow" w:hAnsi="Arial Narrow"/>
                <w:sz w:val="22"/>
              </w:rPr>
            </w:pPr>
            <w:r w:rsidRPr="00C56A72">
              <w:rPr>
                <w:rFonts w:ascii="Arial Narrow" w:hAnsi="Arial Narrow"/>
                <w:sz w:val="22"/>
              </w:rPr>
              <w:t xml:space="preserve">Mirvetuximab-Soravtansin wurde im November 2024 zugelassen und ist seit selbigem Jahr in Deutschland auf dem Markt. </w:t>
            </w:r>
          </w:p>
          <w:p w14:paraId="015A191C" w14:textId="77777777" w:rsidR="00C56A72" w:rsidRPr="00C56A72" w:rsidRDefault="00C56A72" w:rsidP="00C56A72">
            <w:pPr>
              <w:rPr>
                <w:rFonts w:ascii="Arial Narrow" w:hAnsi="Arial Narrow"/>
                <w:sz w:val="22"/>
              </w:rPr>
            </w:pPr>
          </w:p>
          <w:p w14:paraId="78820702" w14:textId="77777777" w:rsidR="00C56A72" w:rsidRPr="00C56A72" w:rsidRDefault="00C56A72" w:rsidP="00C56A72">
            <w:pPr>
              <w:rPr>
                <w:rFonts w:ascii="Arial Narrow" w:hAnsi="Arial Narrow"/>
                <w:sz w:val="22"/>
              </w:rPr>
            </w:pPr>
            <w:r w:rsidRPr="00C56A72">
              <w:rPr>
                <w:rFonts w:ascii="Arial Narrow" w:hAnsi="Arial Narrow"/>
                <w:sz w:val="22"/>
              </w:rPr>
              <w:t xml:space="preserve">Für das Jahr 2026 wurde der spezifische OPS-Kode 6-00p.5 (Mirvetuximab-Soravtansin, parenteral) eingeführt, jedoch liegen im aktuellen InEK-Datenbrowser (basierend auf den Datenjahren 2024 und den unterjährigen Datenlieferungen bis Dezember 2025) noch keine Kosten- und Leistungsinformationen aus den kalkulierenden Krankenhäusern vor. Da der spezifische OPS-Kode erst ab dem Jahr 2026 existiert und die Markteinführung erst Ende 2024 erfolgte, war eine retrospektive, patientenspezifische Kostenrückverfolgung in den bisherigen Kalkulationsrunden technisch nicht möglich. Eine sachgerechte, datengestützte Abbildung im G-DRG-System 2026 ist daher noch nicht erfolgt und eine sachgerechte Abbildung im G-DRG-System 2027 damit nicht möglich. </w:t>
            </w:r>
          </w:p>
          <w:p w14:paraId="2F53CEA4" w14:textId="77777777" w:rsidR="00C56A72" w:rsidRPr="00C56A72" w:rsidRDefault="00C56A72" w:rsidP="00C56A72">
            <w:pPr>
              <w:rPr>
                <w:rFonts w:ascii="Arial Narrow" w:hAnsi="Arial Narrow"/>
                <w:sz w:val="22"/>
              </w:rPr>
            </w:pPr>
          </w:p>
          <w:p w14:paraId="222643B9" w14:textId="3D2B32C9" w:rsidR="008E6675" w:rsidRPr="00BA64AA" w:rsidRDefault="00C56A72" w:rsidP="00C56A72">
            <w:pPr>
              <w:rPr>
                <w:rFonts w:ascii="Arial Narrow" w:hAnsi="Arial Narrow"/>
                <w:sz w:val="22"/>
                <w:szCs w:val="22"/>
              </w:rPr>
            </w:pPr>
            <w:r w:rsidRPr="00C56A72">
              <w:rPr>
                <w:rFonts w:ascii="Arial Narrow" w:hAnsi="Arial Narrow"/>
                <w:sz w:val="22"/>
              </w:rPr>
              <w:t>Die zusätzlichen Kosten von ca. 10.400 € pro Aufenthalt können aber mit den o.g. Fallpauschalen allein nicht ausreichend abgebildet werden und Mirvetuximab-Soravtansin ist bisher als Zusatzentgelt im Fallpauschalenkatalog nicht enthalten.  Aufgrund der hohen Kosten des Medikaments kommt es zu einer Unterfinanzierung in den betroffenen DRGs</w:t>
            </w:r>
          </w:p>
        </w:tc>
      </w:tr>
    </w:tbl>
    <w:p w14:paraId="0A50A959" w14:textId="77777777" w:rsidR="008E6675" w:rsidRPr="005638EB" w:rsidRDefault="008E6675" w:rsidP="007A7867">
      <w:pPr>
        <w:rPr>
          <w:rFonts w:ascii="Arial Narrow" w:hAnsi="Arial Narrow"/>
        </w:rPr>
      </w:pPr>
    </w:p>
    <w:sectPr w:rsidR="008E6675" w:rsidRPr="005638EB" w:rsidSect="004E1D0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6F92D" w14:textId="77777777" w:rsidR="00A70283" w:rsidRDefault="00A70283">
      <w:r>
        <w:separator/>
      </w:r>
    </w:p>
  </w:endnote>
  <w:endnote w:type="continuationSeparator" w:id="0">
    <w:p w14:paraId="1CB4FC50" w14:textId="77777777" w:rsidR="00A70283" w:rsidRDefault="00A70283">
      <w:r>
        <w:continuationSeparator/>
      </w:r>
    </w:p>
  </w:endnote>
  <w:endnote w:type="continuationNotice" w:id="1">
    <w:p w14:paraId="4D9AFB0C" w14:textId="77777777" w:rsidR="00A70283" w:rsidRDefault="00A702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34B9" w14:textId="77777777" w:rsidR="00522D93" w:rsidRDefault="00522D9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2AE8" w14:textId="26D0B390" w:rsidR="001C4D91" w:rsidRPr="00435583" w:rsidRDefault="001C4D91" w:rsidP="00435583">
    <w:pPr>
      <w:pStyle w:val="Fuzeile"/>
      <w:rPr>
        <w:rFonts w:ascii="Arial Narrow" w:hAnsi="Arial Narrow"/>
        <w:sz w:val="20"/>
        <w:szCs w:val="20"/>
      </w:rPr>
    </w:pPr>
    <w:r w:rsidRPr="00435583">
      <w:rPr>
        <w:rFonts w:ascii="Arial Narrow" w:hAnsi="Arial Narrow"/>
        <w:sz w:val="20"/>
        <w:szCs w:val="20"/>
      </w:rPr>
      <w:t>NUB-</w:t>
    </w:r>
    <w:r w:rsidR="00870FC6">
      <w:rPr>
        <w:rFonts w:ascii="Arial Narrow" w:hAnsi="Arial Narrow"/>
        <w:sz w:val="20"/>
        <w:szCs w:val="20"/>
      </w:rPr>
      <w:t>Mustera</w:t>
    </w:r>
    <w:r w:rsidRPr="00435583">
      <w:rPr>
        <w:rFonts w:ascii="Arial Narrow" w:hAnsi="Arial Narrow"/>
        <w:sz w:val="20"/>
        <w:szCs w:val="20"/>
      </w:rPr>
      <w:t xml:space="preserve">nfrage </w:t>
    </w:r>
    <w:r w:rsidRPr="00605D4B">
      <w:rPr>
        <w:rFonts w:ascii="Arial Narrow" w:hAnsi="Arial Narrow"/>
        <w:sz w:val="20"/>
        <w:szCs w:val="20"/>
      </w:rPr>
      <w:t>Mirvetuximab-Soravtansin</w:t>
    </w:r>
  </w:p>
  <w:p w14:paraId="4CDF3254" w14:textId="77777777" w:rsidR="001C4D91" w:rsidRPr="005F5DF9" w:rsidRDefault="001C4D91" w:rsidP="00435583">
    <w:pPr>
      <w:pStyle w:val="Fuzeile"/>
      <w:rPr>
        <w:rFonts w:ascii="Arial Narrow" w:hAnsi="Arial Narrow"/>
        <w:sz w:val="20"/>
        <w:szCs w:val="20"/>
      </w:rPr>
    </w:pPr>
    <w:r w:rsidRPr="005F5DF9">
      <w:rPr>
        <w:rFonts w:ascii="Arial Narrow" w:hAnsi="Arial Narrow"/>
        <w:sz w:val="20"/>
        <w:szCs w:val="20"/>
      </w:rPr>
      <w:t xml:space="preserve">Seite </w:t>
    </w:r>
    <w:r w:rsidRPr="005F5DF9">
      <w:rPr>
        <w:rFonts w:ascii="Arial Narrow" w:hAnsi="Arial Narrow"/>
        <w:sz w:val="20"/>
        <w:szCs w:val="20"/>
      </w:rPr>
      <w:fldChar w:fldCharType="begin"/>
    </w:r>
    <w:r w:rsidRPr="005F5DF9">
      <w:rPr>
        <w:rFonts w:ascii="Arial Narrow" w:hAnsi="Arial Narrow"/>
        <w:sz w:val="20"/>
        <w:szCs w:val="20"/>
      </w:rPr>
      <w:instrText>PAGE  \* Arabic  \* MERGEFORMAT</w:instrText>
    </w:r>
    <w:r w:rsidRPr="005F5DF9">
      <w:rPr>
        <w:rFonts w:ascii="Arial Narrow" w:hAnsi="Arial Narrow"/>
        <w:sz w:val="20"/>
        <w:szCs w:val="20"/>
      </w:rPr>
      <w:fldChar w:fldCharType="separate"/>
    </w:r>
    <w:r w:rsidRPr="005F5DF9">
      <w:rPr>
        <w:rFonts w:ascii="Arial Narrow" w:hAnsi="Arial Narrow"/>
        <w:sz w:val="20"/>
        <w:szCs w:val="20"/>
      </w:rPr>
      <w:t>1</w:t>
    </w:r>
    <w:r w:rsidRPr="005F5DF9">
      <w:rPr>
        <w:rFonts w:ascii="Arial Narrow" w:hAnsi="Arial Narrow"/>
        <w:sz w:val="20"/>
        <w:szCs w:val="20"/>
      </w:rPr>
      <w:fldChar w:fldCharType="end"/>
    </w:r>
    <w:r w:rsidRPr="005F5DF9">
      <w:rPr>
        <w:rFonts w:ascii="Arial Narrow" w:hAnsi="Arial Narrow"/>
        <w:sz w:val="20"/>
        <w:szCs w:val="20"/>
      </w:rPr>
      <w:t xml:space="preserve"> von </w:t>
    </w:r>
    <w:r w:rsidRPr="005F5DF9">
      <w:rPr>
        <w:rFonts w:ascii="Arial Narrow" w:hAnsi="Arial Narrow"/>
        <w:sz w:val="20"/>
        <w:szCs w:val="20"/>
      </w:rPr>
      <w:fldChar w:fldCharType="begin"/>
    </w:r>
    <w:r w:rsidRPr="005F5DF9">
      <w:rPr>
        <w:rFonts w:ascii="Arial Narrow" w:hAnsi="Arial Narrow"/>
        <w:sz w:val="20"/>
        <w:szCs w:val="20"/>
      </w:rPr>
      <w:instrText>NUMPAGES  \* Arabic  \* MERGEFORMAT</w:instrText>
    </w:r>
    <w:r w:rsidRPr="005F5DF9">
      <w:rPr>
        <w:rFonts w:ascii="Arial Narrow" w:hAnsi="Arial Narrow"/>
        <w:sz w:val="20"/>
        <w:szCs w:val="20"/>
      </w:rPr>
      <w:fldChar w:fldCharType="separate"/>
    </w:r>
    <w:r w:rsidRPr="005F5DF9">
      <w:rPr>
        <w:rFonts w:ascii="Arial Narrow" w:hAnsi="Arial Narrow"/>
        <w:sz w:val="20"/>
        <w:szCs w:val="20"/>
      </w:rPr>
      <w:t>2</w:t>
    </w:r>
    <w:r w:rsidRPr="005F5DF9">
      <w:rPr>
        <w:rFonts w:ascii="Arial Narrow" w:hAnsi="Arial Narrow"/>
        <w:sz w:val="20"/>
        <w:szCs w:val="20"/>
      </w:rPr>
      <w:fldChar w:fldCharType="end"/>
    </w:r>
  </w:p>
  <w:p w14:paraId="299AA8E4" w14:textId="3DB412BD" w:rsidR="001C4D91" w:rsidRPr="00435583" w:rsidRDefault="3456CA8C" w:rsidP="00C56A72">
    <w:pPr>
      <w:rPr>
        <w:sz w:val="20"/>
        <w:szCs w:val="20"/>
      </w:rPr>
    </w:pPr>
    <w:r w:rsidRPr="7D65F3FB">
      <w:rPr>
        <w:rFonts w:ascii="Arial Narrow" w:hAnsi="Arial Narrow"/>
        <w:sz w:val="20"/>
        <w:szCs w:val="20"/>
      </w:rPr>
      <w:t>27-</w:t>
    </w:r>
    <w:r w:rsidR="7D65F3FB" w:rsidRPr="7D65F3FB">
      <w:rPr>
        <w:rFonts w:ascii="Arial Narrow" w:hAnsi="Arial Narrow"/>
        <w:sz w:val="20"/>
        <w:szCs w:val="20"/>
      </w:rPr>
      <w:t xml:space="preserve"> </w:t>
    </w:r>
    <w:r w:rsidRPr="7D65F3FB">
      <w:rPr>
        <w:rFonts w:ascii="Arial Narrow" w:hAnsi="Arial Narrow"/>
        <w:sz w:val="20"/>
        <w:szCs w:val="20"/>
      </w:rPr>
      <w:t>Mirvetuximab NUB-</w:t>
    </w:r>
    <w:r w:rsidR="32B7580C" w:rsidRPr="7D65F3FB">
      <w:rPr>
        <w:rFonts w:ascii="Arial Narrow" w:hAnsi="Arial Narrow"/>
        <w:sz w:val="20"/>
        <w:szCs w:val="20"/>
      </w:rPr>
      <w:t>Vorlage</w:t>
    </w:r>
    <w:r w:rsidR="7D65F3FB" w:rsidRPr="7D65F3FB">
      <w:rPr>
        <w:rFonts w:ascii="Arial Narrow" w:hAnsi="Arial Narrow"/>
        <w:sz w:val="20"/>
        <w:szCs w:val="20"/>
      </w:rPr>
      <w:t xml:space="preserve"> </w:t>
    </w:r>
    <w:r w:rsidRPr="7D65F3FB">
      <w:rPr>
        <w:rFonts w:ascii="Arial Narrow" w:hAnsi="Arial Narrow"/>
        <w:sz w:val="20"/>
        <w:szCs w:val="20"/>
      </w:rPr>
      <w:t>Stand</w:t>
    </w:r>
    <w:r w:rsidR="7D65F3FB" w:rsidRPr="7D65F3FB">
      <w:rPr>
        <w:rFonts w:ascii="Arial Narrow" w:hAnsi="Arial Narrow"/>
        <w:sz w:val="20"/>
        <w:szCs w:val="20"/>
      </w:rPr>
      <w:t xml:space="preserve"> </w:t>
    </w:r>
    <w:r w:rsidRPr="7D65F3FB">
      <w:rPr>
        <w:rFonts w:ascii="Arial Narrow" w:hAnsi="Arial Narrow"/>
        <w:sz w:val="20"/>
        <w:szCs w:val="20"/>
      </w:rPr>
      <w:t>2026</w:t>
    </w:r>
    <w:r w:rsidR="24F10DA1" w:rsidRPr="7D65F3FB">
      <w:rPr>
        <w:rFonts w:ascii="Arial Narrow" w:hAnsi="Arial Narrow"/>
        <w:sz w:val="20"/>
        <w:szCs w:val="20"/>
      </w:rPr>
      <w:t>-</w:t>
    </w:r>
    <w:r w:rsidRPr="7D65F3FB">
      <w:rPr>
        <w:rFonts w:ascii="Arial Narrow" w:hAnsi="Arial Narrow"/>
        <w:sz w:val="20"/>
        <w:szCs w:val="20"/>
      </w:rPr>
      <w:t>09</w:t>
    </w:r>
    <w:r w:rsidR="24F10DA1" w:rsidRPr="7D65F3FB">
      <w:rPr>
        <w:rFonts w:ascii="Arial Narrow" w:hAnsi="Arial Narrow"/>
        <w:sz w:val="20"/>
        <w:szCs w:val="20"/>
      </w:rPr>
      <w:t>-</w:t>
    </w:r>
    <w:r w:rsidR="747ED279" w:rsidRPr="7D65F3FB">
      <w:rPr>
        <w:rFonts w:ascii="Arial Narrow" w:hAnsi="Arial Narrow"/>
        <w:sz w:val="20"/>
        <w:szCs w:val="20"/>
      </w:rPr>
      <w:t>28</w:t>
    </w:r>
    <w:r w:rsidR="7D65F3FB" w:rsidRPr="7D65F3FB">
      <w:rPr>
        <w:rFonts w:ascii="Arial Narrow" w:hAnsi="Arial Narrow"/>
        <w:sz w:val="20"/>
        <w:szCs w:val="20"/>
      </w:rPr>
      <w:t xml:space="preserve"> </w:t>
    </w:r>
    <w:r w:rsidR="7356EB4F" w:rsidRPr="7D65F3FB">
      <w:rPr>
        <w:rFonts w:ascii="Arial Narrow" w:hAnsi="Arial Narrow"/>
        <w:sz w:val="20"/>
        <w:szCs w:val="20"/>
      </w:rPr>
      <w:t>final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6A0C" w14:textId="77777777" w:rsidR="00522D93" w:rsidRDefault="00522D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5DACE" w14:textId="77777777" w:rsidR="00A70283" w:rsidRDefault="00A70283">
      <w:r>
        <w:separator/>
      </w:r>
    </w:p>
  </w:footnote>
  <w:footnote w:type="continuationSeparator" w:id="0">
    <w:p w14:paraId="4F60D134" w14:textId="77777777" w:rsidR="00A70283" w:rsidRDefault="00A70283">
      <w:r>
        <w:continuationSeparator/>
      </w:r>
    </w:p>
  </w:footnote>
  <w:footnote w:type="continuationNotice" w:id="1">
    <w:p w14:paraId="3C603AFB" w14:textId="77777777" w:rsidR="00A70283" w:rsidRDefault="00A702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06305" w14:textId="77777777" w:rsidR="00522D93" w:rsidRDefault="00522D9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845BB" w14:textId="77777777" w:rsidR="001C4D91" w:rsidRPr="004C4F82" w:rsidRDefault="001C4D91" w:rsidP="00596F9A">
    <w:pPr>
      <w:pStyle w:val="Titel"/>
      <w:rPr>
        <w:sz w:val="48"/>
      </w:rPr>
    </w:pPr>
    <w:r w:rsidRPr="004C4F82">
      <w:rPr>
        <w:sz w:val="48"/>
      </w:rPr>
      <w:t>NUB Antrag 20</w:t>
    </w:r>
    <w:r>
      <w:rPr>
        <w:sz w:val="48"/>
      </w:rPr>
      <w:t>26</w:t>
    </w:r>
    <w:r w:rsidRPr="004C4F82">
      <w:rPr>
        <w:sz w:val="48"/>
      </w:rPr>
      <w:t>/20</w:t>
    </w:r>
    <w:r>
      <w:rPr>
        <w:sz w:val="48"/>
      </w:rPr>
      <w:t>27</w:t>
    </w:r>
  </w:p>
  <w:p w14:paraId="3EE7DAAB" w14:textId="77777777" w:rsidR="001C4D91" w:rsidRPr="004C4F82" w:rsidRDefault="001C4D91" w:rsidP="00596F9A">
    <w:pPr>
      <w:pStyle w:val="Titel"/>
      <w:rPr>
        <w:sz w:val="48"/>
      </w:rPr>
    </w:pPr>
    <w:r w:rsidRPr="00972658">
      <w:rPr>
        <w:sz w:val="48"/>
      </w:rPr>
      <w:t>Mirvetuximab-Soravtansin</w:t>
    </w:r>
  </w:p>
  <w:p w14:paraId="5FBCB3C0" w14:textId="77777777" w:rsidR="001C4D91" w:rsidRDefault="001C4D9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63345" w14:textId="77777777" w:rsidR="00522D93" w:rsidRDefault="00522D9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E2F"/>
    <w:multiLevelType w:val="hybridMultilevel"/>
    <w:tmpl w:val="1C4049B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C1B2B83"/>
    <w:multiLevelType w:val="multilevel"/>
    <w:tmpl w:val="1D4663A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5C1CCB"/>
    <w:multiLevelType w:val="multilevel"/>
    <w:tmpl w:val="7D024176"/>
    <w:lvl w:ilvl="0">
      <w:start w:val="1"/>
      <w:numFmt w:val="decimal"/>
      <w:lvlText w:val="%1"/>
      <w:lvlJc w:val="left"/>
      <w:pPr>
        <w:tabs>
          <w:tab w:val="num" w:pos="360"/>
        </w:tabs>
        <w:ind w:left="360" w:hanging="360"/>
      </w:pPr>
      <w:rPr>
        <w:rFonts w:cs="Times New Roman" w:hint="default"/>
        <w:b w:val="0"/>
      </w:rPr>
    </w:lvl>
    <w:lvl w:ilvl="1">
      <w:start w:val="4"/>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3" w15:restartNumberingAfterBreak="0">
    <w:nsid w:val="0F8C1304"/>
    <w:multiLevelType w:val="hybridMultilevel"/>
    <w:tmpl w:val="49187E7A"/>
    <w:lvl w:ilvl="0" w:tplc="F4DC3A5A">
      <w:start w:val="1"/>
      <w:numFmt w:val="bullet"/>
      <w:lvlText w:val=""/>
      <w:lvlJc w:val="left"/>
      <w:pPr>
        <w:tabs>
          <w:tab w:val="num" w:pos="720"/>
        </w:tabs>
        <w:ind w:left="720" w:hanging="360"/>
      </w:pPr>
      <w:rPr>
        <w:rFonts w:ascii="Symbol" w:hAnsi="Symbol" w:hint="default"/>
        <w:sz w:val="20"/>
      </w:rPr>
    </w:lvl>
    <w:lvl w:ilvl="1" w:tplc="22CA003C" w:tentative="1">
      <w:start w:val="1"/>
      <w:numFmt w:val="bullet"/>
      <w:lvlText w:val="o"/>
      <w:lvlJc w:val="left"/>
      <w:pPr>
        <w:tabs>
          <w:tab w:val="num" w:pos="1440"/>
        </w:tabs>
        <w:ind w:left="1440" w:hanging="360"/>
      </w:pPr>
      <w:rPr>
        <w:rFonts w:ascii="Courier New" w:hAnsi="Courier New" w:hint="default"/>
        <w:sz w:val="20"/>
      </w:rPr>
    </w:lvl>
    <w:lvl w:ilvl="2" w:tplc="69B6E4CA" w:tentative="1">
      <w:start w:val="1"/>
      <w:numFmt w:val="bullet"/>
      <w:lvlText w:val=""/>
      <w:lvlJc w:val="left"/>
      <w:pPr>
        <w:tabs>
          <w:tab w:val="num" w:pos="2160"/>
        </w:tabs>
        <w:ind w:left="2160" w:hanging="360"/>
      </w:pPr>
      <w:rPr>
        <w:rFonts w:ascii="Wingdings" w:hAnsi="Wingdings" w:hint="default"/>
        <w:sz w:val="20"/>
      </w:rPr>
    </w:lvl>
    <w:lvl w:ilvl="3" w:tplc="D0E6B0AC" w:tentative="1">
      <w:start w:val="1"/>
      <w:numFmt w:val="bullet"/>
      <w:lvlText w:val=""/>
      <w:lvlJc w:val="left"/>
      <w:pPr>
        <w:tabs>
          <w:tab w:val="num" w:pos="2880"/>
        </w:tabs>
        <w:ind w:left="2880" w:hanging="360"/>
      </w:pPr>
      <w:rPr>
        <w:rFonts w:ascii="Wingdings" w:hAnsi="Wingdings" w:hint="default"/>
        <w:sz w:val="20"/>
      </w:rPr>
    </w:lvl>
    <w:lvl w:ilvl="4" w:tplc="32A8AE62" w:tentative="1">
      <w:start w:val="1"/>
      <w:numFmt w:val="bullet"/>
      <w:lvlText w:val=""/>
      <w:lvlJc w:val="left"/>
      <w:pPr>
        <w:tabs>
          <w:tab w:val="num" w:pos="3600"/>
        </w:tabs>
        <w:ind w:left="3600" w:hanging="360"/>
      </w:pPr>
      <w:rPr>
        <w:rFonts w:ascii="Wingdings" w:hAnsi="Wingdings" w:hint="default"/>
        <w:sz w:val="20"/>
      </w:rPr>
    </w:lvl>
    <w:lvl w:ilvl="5" w:tplc="91AC12EA" w:tentative="1">
      <w:start w:val="1"/>
      <w:numFmt w:val="bullet"/>
      <w:lvlText w:val=""/>
      <w:lvlJc w:val="left"/>
      <w:pPr>
        <w:tabs>
          <w:tab w:val="num" w:pos="4320"/>
        </w:tabs>
        <w:ind w:left="4320" w:hanging="360"/>
      </w:pPr>
      <w:rPr>
        <w:rFonts w:ascii="Wingdings" w:hAnsi="Wingdings" w:hint="default"/>
        <w:sz w:val="20"/>
      </w:rPr>
    </w:lvl>
    <w:lvl w:ilvl="6" w:tplc="FE4C643A" w:tentative="1">
      <w:start w:val="1"/>
      <w:numFmt w:val="bullet"/>
      <w:lvlText w:val=""/>
      <w:lvlJc w:val="left"/>
      <w:pPr>
        <w:tabs>
          <w:tab w:val="num" w:pos="5040"/>
        </w:tabs>
        <w:ind w:left="5040" w:hanging="360"/>
      </w:pPr>
      <w:rPr>
        <w:rFonts w:ascii="Wingdings" w:hAnsi="Wingdings" w:hint="default"/>
        <w:sz w:val="20"/>
      </w:rPr>
    </w:lvl>
    <w:lvl w:ilvl="7" w:tplc="8F8C7AD6" w:tentative="1">
      <w:start w:val="1"/>
      <w:numFmt w:val="bullet"/>
      <w:lvlText w:val=""/>
      <w:lvlJc w:val="left"/>
      <w:pPr>
        <w:tabs>
          <w:tab w:val="num" w:pos="5760"/>
        </w:tabs>
        <w:ind w:left="5760" w:hanging="360"/>
      </w:pPr>
      <w:rPr>
        <w:rFonts w:ascii="Wingdings" w:hAnsi="Wingdings" w:hint="default"/>
        <w:sz w:val="20"/>
      </w:rPr>
    </w:lvl>
    <w:lvl w:ilvl="8" w:tplc="F2C29F7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F382E"/>
    <w:multiLevelType w:val="hybridMultilevel"/>
    <w:tmpl w:val="03C635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D81313"/>
    <w:multiLevelType w:val="hybridMultilevel"/>
    <w:tmpl w:val="7F4E33F6"/>
    <w:lvl w:ilvl="0" w:tplc="9AEE24C8">
      <w:start w:val="1"/>
      <w:numFmt w:val="decimal"/>
      <w:lvlText w:val="(%1)"/>
      <w:lvlJc w:val="left"/>
      <w:pPr>
        <w:tabs>
          <w:tab w:val="num" w:pos="1080"/>
        </w:tabs>
        <w:ind w:left="1080" w:hanging="720"/>
      </w:pPr>
      <w:rPr>
        <w:rFonts w:ascii="Arial" w:hAnsi="Arial" w:cs="Arial" w:hint="default"/>
        <w:sz w:val="22"/>
      </w:rPr>
    </w:lvl>
    <w:lvl w:ilvl="1" w:tplc="81F03F5E" w:tentative="1">
      <w:start w:val="1"/>
      <w:numFmt w:val="lowerLetter"/>
      <w:lvlText w:val="%2."/>
      <w:lvlJc w:val="left"/>
      <w:pPr>
        <w:tabs>
          <w:tab w:val="num" w:pos="1440"/>
        </w:tabs>
        <w:ind w:left="1440" w:hanging="360"/>
      </w:pPr>
      <w:rPr>
        <w:rFonts w:cs="Times New Roman"/>
      </w:rPr>
    </w:lvl>
    <w:lvl w:ilvl="2" w:tplc="45DC5758" w:tentative="1">
      <w:start w:val="1"/>
      <w:numFmt w:val="lowerRoman"/>
      <w:lvlText w:val="%3."/>
      <w:lvlJc w:val="right"/>
      <w:pPr>
        <w:tabs>
          <w:tab w:val="num" w:pos="2160"/>
        </w:tabs>
        <w:ind w:left="2160" w:hanging="180"/>
      </w:pPr>
      <w:rPr>
        <w:rFonts w:cs="Times New Roman"/>
      </w:rPr>
    </w:lvl>
    <w:lvl w:ilvl="3" w:tplc="3D508AE6" w:tentative="1">
      <w:start w:val="1"/>
      <w:numFmt w:val="decimal"/>
      <w:lvlText w:val="%4."/>
      <w:lvlJc w:val="left"/>
      <w:pPr>
        <w:tabs>
          <w:tab w:val="num" w:pos="2880"/>
        </w:tabs>
        <w:ind w:left="2880" w:hanging="360"/>
      </w:pPr>
      <w:rPr>
        <w:rFonts w:cs="Times New Roman"/>
      </w:rPr>
    </w:lvl>
    <w:lvl w:ilvl="4" w:tplc="1598B24E" w:tentative="1">
      <w:start w:val="1"/>
      <w:numFmt w:val="lowerLetter"/>
      <w:lvlText w:val="%5."/>
      <w:lvlJc w:val="left"/>
      <w:pPr>
        <w:tabs>
          <w:tab w:val="num" w:pos="3600"/>
        </w:tabs>
        <w:ind w:left="3600" w:hanging="360"/>
      </w:pPr>
      <w:rPr>
        <w:rFonts w:cs="Times New Roman"/>
      </w:rPr>
    </w:lvl>
    <w:lvl w:ilvl="5" w:tplc="F468C790" w:tentative="1">
      <w:start w:val="1"/>
      <w:numFmt w:val="lowerRoman"/>
      <w:lvlText w:val="%6."/>
      <w:lvlJc w:val="right"/>
      <w:pPr>
        <w:tabs>
          <w:tab w:val="num" w:pos="4320"/>
        </w:tabs>
        <w:ind w:left="4320" w:hanging="180"/>
      </w:pPr>
      <w:rPr>
        <w:rFonts w:cs="Times New Roman"/>
      </w:rPr>
    </w:lvl>
    <w:lvl w:ilvl="6" w:tplc="531E2918" w:tentative="1">
      <w:start w:val="1"/>
      <w:numFmt w:val="decimal"/>
      <w:lvlText w:val="%7."/>
      <w:lvlJc w:val="left"/>
      <w:pPr>
        <w:tabs>
          <w:tab w:val="num" w:pos="5040"/>
        </w:tabs>
        <w:ind w:left="5040" w:hanging="360"/>
      </w:pPr>
      <w:rPr>
        <w:rFonts w:cs="Times New Roman"/>
      </w:rPr>
    </w:lvl>
    <w:lvl w:ilvl="7" w:tplc="D7AEEF1C" w:tentative="1">
      <w:start w:val="1"/>
      <w:numFmt w:val="lowerLetter"/>
      <w:lvlText w:val="%8."/>
      <w:lvlJc w:val="left"/>
      <w:pPr>
        <w:tabs>
          <w:tab w:val="num" w:pos="5760"/>
        </w:tabs>
        <w:ind w:left="5760" w:hanging="360"/>
      </w:pPr>
      <w:rPr>
        <w:rFonts w:cs="Times New Roman"/>
      </w:rPr>
    </w:lvl>
    <w:lvl w:ilvl="8" w:tplc="A85C5452" w:tentative="1">
      <w:start w:val="1"/>
      <w:numFmt w:val="lowerRoman"/>
      <w:lvlText w:val="%9."/>
      <w:lvlJc w:val="right"/>
      <w:pPr>
        <w:tabs>
          <w:tab w:val="num" w:pos="6480"/>
        </w:tabs>
        <w:ind w:left="6480" w:hanging="180"/>
      </w:pPr>
      <w:rPr>
        <w:rFonts w:cs="Times New Roman"/>
      </w:rPr>
    </w:lvl>
  </w:abstractNum>
  <w:abstractNum w:abstractNumId="6" w15:restartNumberingAfterBreak="0">
    <w:nsid w:val="25DC15EE"/>
    <w:multiLevelType w:val="multilevel"/>
    <w:tmpl w:val="E7206966"/>
    <w:lvl w:ilvl="0">
      <w:start w:val="1"/>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96300F9"/>
    <w:multiLevelType w:val="hybridMultilevel"/>
    <w:tmpl w:val="D0F4BD28"/>
    <w:lvl w:ilvl="0" w:tplc="47D65AF8">
      <w:start w:val="1"/>
      <w:numFmt w:val="decimal"/>
      <w:lvlText w:val="(%1)"/>
      <w:lvlJc w:val="left"/>
      <w:pPr>
        <w:tabs>
          <w:tab w:val="num" w:pos="1440"/>
        </w:tabs>
        <w:ind w:left="1440" w:hanging="720"/>
      </w:pPr>
      <w:rPr>
        <w:rFonts w:ascii="Arial" w:hAnsi="Arial" w:cs="Arial" w:hint="default"/>
        <w:sz w:val="22"/>
      </w:rPr>
    </w:lvl>
    <w:lvl w:ilvl="1" w:tplc="3AC05F4E" w:tentative="1">
      <w:start w:val="1"/>
      <w:numFmt w:val="lowerLetter"/>
      <w:lvlText w:val="%2."/>
      <w:lvlJc w:val="left"/>
      <w:pPr>
        <w:tabs>
          <w:tab w:val="num" w:pos="1800"/>
        </w:tabs>
        <w:ind w:left="1800" w:hanging="360"/>
      </w:pPr>
      <w:rPr>
        <w:rFonts w:cs="Times New Roman"/>
      </w:rPr>
    </w:lvl>
    <w:lvl w:ilvl="2" w:tplc="90DA7DEE" w:tentative="1">
      <w:start w:val="1"/>
      <w:numFmt w:val="lowerRoman"/>
      <w:lvlText w:val="%3."/>
      <w:lvlJc w:val="right"/>
      <w:pPr>
        <w:tabs>
          <w:tab w:val="num" w:pos="2520"/>
        </w:tabs>
        <w:ind w:left="2520" w:hanging="180"/>
      </w:pPr>
      <w:rPr>
        <w:rFonts w:cs="Times New Roman"/>
      </w:rPr>
    </w:lvl>
    <w:lvl w:ilvl="3" w:tplc="B27838E4" w:tentative="1">
      <w:start w:val="1"/>
      <w:numFmt w:val="decimal"/>
      <w:lvlText w:val="%4."/>
      <w:lvlJc w:val="left"/>
      <w:pPr>
        <w:tabs>
          <w:tab w:val="num" w:pos="3240"/>
        </w:tabs>
        <w:ind w:left="3240" w:hanging="360"/>
      </w:pPr>
      <w:rPr>
        <w:rFonts w:cs="Times New Roman"/>
      </w:rPr>
    </w:lvl>
    <w:lvl w:ilvl="4" w:tplc="F0A44370" w:tentative="1">
      <w:start w:val="1"/>
      <w:numFmt w:val="lowerLetter"/>
      <w:lvlText w:val="%5."/>
      <w:lvlJc w:val="left"/>
      <w:pPr>
        <w:tabs>
          <w:tab w:val="num" w:pos="3960"/>
        </w:tabs>
        <w:ind w:left="3960" w:hanging="360"/>
      </w:pPr>
      <w:rPr>
        <w:rFonts w:cs="Times New Roman"/>
      </w:rPr>
    </w:lvl>
    <w:lvl w:ilvl="5" w:tplc="7C9ABF02" w:tentative="1">
      <w:start w:val="1"/>
      <w:numFmt w:val="lowerRoman"/>
      <w:lvlText w:val="%6."/>
      <w:lvlJc w:val="right"/>
      <w:pPr>
        <w:tabs>
          <w:tab w:val="num" w:pos="4680"/>
        </w:tabs>
        <w:ind w:left="4680" w:hanging="180"/>
      </w:pPr>
      <w:rPr>
        <w:rFonts w:cs="Times New Roman"/>
      </w:rPr>
    </w:lvl>
    <w:lvl w:ilvl="6" w:tplc="1FE611FC" w:tentative="1">
      <w:start w:val="1"/>
      <w:numFmt w:val="decimal"/>
      <w:lvlText w:val="%7."/>
      <w:lvlJc w:val="left"/>
      <w:pPr>
        <w:tabs>
          <w:tab w:val="num" w:pos="5400"/>
        </w:tabs>
        <w:ind w:left="5400" w:hanging="360"/>
      </w:pPr>
      <w:rPr>
        <w:rFonts w:cs="Times New Roman"/>
      </w:rPr>
    </w:lvl>
    <w:lvl w:ilvl="7" w:tplc="501008C0" w:tentative="1">
      <w:start w:val="1"/>
      <w:numFmt w:val="lowerLetter"/>
      <w:lvlText w:val="%8."/>
      <w:lvlJc w:val="left"/>
      <w:pPr>
        <w:tabs>
          <w:tab w:val="num" w:pos="6120"/>
        </w:tabs>
        <w:ind w:left="6120" w:hanging="360"/>
      </w:pPr>
      <w:rPr>
        <w:rFonts w:cs="Times New Roman"/>
      </w:rPr>
    </w:lvl>
    <w:lvl w:ilvl="8" w:tplc="1F2C4308" w:tentative="1">
      <w:start w:val="1"/>
      <w:numFmt w:val="lowerRoman"/>
      <w:lvlText w:val="%9."/>
      <w:lvlJc w:val="right"/>
      <w:pPr>
        <w:tabs>
          <w:tab w:val="num" w:pos="6840"/>
        </w:tabs>
        <w:ind w:left="6840" w:hanging="180"/>
      </w:pPr>
      <w:rPr>
        <w:rFonts w:cs="Times New Roman"/>
      </w:rPr>
    </w:lvl>
  </w:abstractNum>
  <w:abstractNum w:abstractNumId="8" w15:restartNumberingAfterBreak="0">
    <w:nsid w:val="2C1D1057"/>
    <w:multiLevelType w:val="hybridMultilevel"/>
    <w:tmpl w:val="254E9D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83E6F25"/>
    <w:multiLevelType w:val="multilevel"/>
    <w:tmpl w:val="6F323276"/>
    <w:lvl w:ilvl="0">
      <w:start w:val="1"/>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720"/>
        </w:tabs>
        <w:ind w:left="720" w:hanging="72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1080"/>
        </w:tabs>
        <w:ind w:left="1080" w:hanging="108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440"/>
        </w:tabs>
        <w:ind w:left="1440" w:hanging="14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800"/>
        </w:tabs>
        <w:ind w:left="1800" w:hanging="180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0" w15:restartNumberingAfterBreak="0">
    <w:nsid w:val="61FB1A21"/>
    <w:multiLevelType w:val="hybridMultilevel"/>
    <w:tmpl w:val="8BACE4F6"/>
    <w:lvl w:ilvl="0" w:tplc="92148044">
      <w:start w:val="1"/>
      <w:numFmt w:val="decimal"/>
      <w:lvlText w:val="(%1)"/>
      <w:lvlJc w:val="left"/>
      <w:pPr>
        <w:tabs>
          <w:tab w:val="num" w:pos="1080"/>
        </w:tabs>
        <w:ind w:left="1080" w:hanging="720"/>
      </w:pPr>
      <w:rPr>
        <w:rFonts w:ascii="Arial" w:hAnsi="Arial" w:cs="Arial" w:hint="default"/>
        <w:sz w:val="22"/>
      </w:rPr>
    </w:lvl>
    <w:lvl w:ilvl="1" w:tplc="296C68BA" w:tentative="1">
      <w:start w:val="1"/>
      <w:numFmt w:val="lowerLetter"/>
      <w:lvlText w:val="%2."/>
      <w:lvlJc w:val="left"/>
      <w:pPr>
        <w:tabs>
          <w:tab w:val="num" w:pos="1440"/>
        </w:tabs>
        <w:ind w:left="1440" w:hanging="360"/>
      </w:pPr>
      <w:rPr>
        <w:rFonts w:cs="Times New Roman"/>
      </w:rPr>
    </w:lvl>
    <w:lvl w:ilvl="2" w:tplc="0D049FA4" w:tentative="1">
      <w:start w:val="1"/>
      <w:numFmt w:val="lowerRoman"/>
      <w:lvlText w:val="%3."/>
      <w:lvlJc w:val="right"/>
      <w:pPr>
        <w:tabs>
          <w:tab w:val="num" w:pos="2160"/>
        </w:tabs>
        <w:ind w:left="2160" w:hanging="180"/>
      </w:pPr>
      <w:rPr>
        <w:rFonts w:cs="Times New Roman"/>
      </w:rPr>
    </w:lvl>
    <w:lvl w:ilvl="3" w:tplc="0480E9F4" w:tentative="1">
      <w:start w:val="1"/>
      <w:numFmt w:val="decimal"/>
      <w:lvlText w:val="%4."/>
      <w:lvlJc w:val="left"/>
      <w:pPr>
        <w:tabs>
          <w:tab w:val="num" w:pos="2880"/>
        </w:tabs>
        <w:ind w:left="2880" w:hanging="360"/>
      </w:pPr>
      <w:rPr>
        <w:rFonts w:cs="Times New Roman"/>
      </w:rPr>
    </w:lvl>
    <w:lvl w:ilvl="4" w:tplc="D5C8E944" w:tentative="1">
      <w:start w:val="1"/>
      <w:numFmt w:val="lowerLetter"/>
      <w:lvlText w:val="%5."/>
      <w:lvlJc w:val="left"/>
      <w:pPr>
        <w:tabs>
          <w:tab w:val="num" w:pos="3600"/>
        </w:tabs>
        <w:ind w:left="3600" w:hanging="360"/>
      </w:pPr>
      <w:rPr>
        <w:rFonts w:cs="Times New Roman"/>
      </w:rPr>
    </w:lvl>
    <w:lvl w:ilvl="5" w:tplc="6C10FBEC" w:tentative="1">
      <w:start w:val="1"/>
      <w:numFmt w:val="lowerRoman"/>
      <w:lvlText w:val="%6."/>
      <w:lvlJc w:val="right"/>
      <w:pPr>
        <w:tabs>
          <w:tab w:val="num" w:pos="4320"/>
        </w:tabs>
        <w:ind w:left="4320" w:hanging="180"/>
      </w:pPr>
      <w:rPr>
        <w:rFonts w:cs="Times New Roman"/>
      </w:rPr>
    </w:lvl>
    <w:lvl w:ilvl="6" w:tplc="1486AE72" w:tentative="1">
      <w:start w:val="1"/>
      <w:numFmt w:val="decimal"/>
      <w:lvlText w:val="%7."/>
      <w:lvlJc w:val="left"/>
      <w:pPr>
        <w:tabs>
          <w:tab w:val="num" w:pos="5040"/>
        </w:tabs>
        <w:ind w:left="5040" w:hanging="360"/>
      </w:pPr>
      <w:rPr>
        <w:rFonts w:cs="Times New Roman"/>
      </w:rPr>
    </w:lvl>
    <w:lvl w:ilvl="7" w:tplc="E2D238C4" w:tentative="1">
      <w:start w:val="1"/>
      <w:numFmt w:val="lowerLetter"/>
      <w:lvlText w:val="%8."/>
      <w:lvlJc w:val="left"/>
      <w:pPr>
        <w:tabs>
          <w:tab w:val="num" w:pos="5760"/>
        </w:tabs>
        <w:ind w:left="5760" w:hanging="360"/>
      </w:pPr>
      <w:rPr>
        <w:rFonts w:cs="Times New Roman"/>
      </w:rPr>
    </w:lvl>
    <w:lvl w:ilvl="8" w:tplc="354869B6" w:tentative="1">
      <w:start w:val="1"/>
      <w:numFmt w:val="lowerRoman"/>
      <w:lvlText w:val="%9."/>
      <w:lvlJc w:val="right"/>
      <w:pPr>
        <w:tabs>
          <w:tab w:val="num" w:pos="6480"/>
        </w:tabs>
        <w:ind w:left="6480" w:hanging="180"/>
      </w:pPr>
      <w:rPr>
        <w:rFonts w:cs="Times New Roman"/>
      </w:rPr>
    </w:lvl>
  </w:abstractNum>
  <w:abstractNum w:abstractNumId="11" w15:restartNumberingAfterBreak="0">
    <w:nsid w:val="66297720"/>
    <w:multiLevelType w:val="hybridMultilevel"/>
    <w:tmpl w:val="D372435A"/>
    <w:lvl w:ilvl="0" w:tplc="89948014">
      <w:start w:val="1"/>
      <w:numFmt w:val="bullet"/>
      <w:lvlText w:val=""/>
      <w:lvlJc w:val="left"/>
      <w:pPr>
        <w:tabs>
          <w:tab w:val="num" w:pos="720"/>
        </w:tabs>
        <w:ind w:left="720" w:hanging="360"/>
      </w:pPr>
      <w:rPr>
        <w:rFonts w:ascii="Symbol" w:hAnsi="Symbol" w:hint="default"/>
        <w:sz w:val="20"/>
      </w:rPr>
    </w:lvl>
    <w:lvl w:ilvl="1" w:tplc="FB10351C" w:tentative="1">
      <w:start w:val="1"/>
      <w:numFmt w:val="bullet"/>
      <w:lvlText w:val="o"/>
      <w:lvlJc w:val="left"/>
      <w:pPr>
        <w:tabs>
          <w:tab w:val="num" w:pos="1440"/>
        </w:tabs>
        <w:ind w:left="1440" w:hanging="360"/>
      </w:pPr>
      <w:rPr>
        <w:rFonts w:ascii="Courier New" w:hAnsi="Courier New" w:hint="default"/>
        <w:sz w:val="20"/>
      </w:rPr>
    </w:lvl>
    <w:lvl w:ilvl="2" w:tplc="C5A252A6" w:tentative="1">
      <w:start w:val="1"/>
      <w:numFmt w:val="bullet"/>
      <w:lvlText w:val=""/>
      <w:lvlJc w:val="left"/>
      <w:pPr>
        <w:tabs>
          <w:tab w:val="num" w:pos="2160"/>
        </w:tabs>
        <w:ind w:left="2160" w:hanging="360"/>
      </w:pPr>
      <w:rPr>
        <w:rFonts w:ascii="Wingdings" w:hAnsi="Wingdings" w:hint="default"/>
        <w:sz w:val="20"/>
      </w:rPr>
    </w:lvl>
    <w:lvl w:ilvl="3" w:tplc="3CCE2C4E" w:tentative="1">
      <w:start w:val="1"/>
      <w:numFmt w:val="bullet"/>
      <w:lvlText w:val=""/>
      <w:lvlJc w:val="left"/>
      <w:pPr>
        <w:tabs>
          <w:tab w:val="num" w:pos="2880"/>
        </w:tabs>
        <w:ind w:left="2880" w:hanging="360"/>
      </w:pPr>
      <w:rPr>
        <w:rFonts w:ascii="Wingdings" w:hAnsi="Wingdings" w:hint="default"/>
        <w:sz w:val="20"/>
      </w:rPr>
    </w:lvl>
    <w:lvl w:ilvl="4" w:tplc="2168E724" w:tentative="1">
      <w:start w:val="1"/>
      <w:numFmt w:val="bullet"/>
      <w:lvlText w:val=""/>
      <w:lvlJc w:val="left"/>
      <w:pPr>
        <w:tabs>
          <w:tab w:val="num" w:pos="3600"/>
        </w:tabs>
        <w:ind w:left="3600" w:hanging="360"/>
      </w:pPr>
      <w:rPr>
        <w:rFonts w:ascii="Wingdings" w:hAnsi="Wingdings" w:hint="default"/>
        <w:sz w:val="20"/>
      </w:rPr>
    </w:lvl>
    <w:lvl w:ilvl="5" w:tplc="F25651F8" w:tentative="1">
      <w:start w:val="1"/>
      <w:numFmt w:val="bullet"/>
      <w:lvlText w:val=""/>
      <w:lvlJc w:val="left"/>
      <w:pPr>
        <w:tabs>
          <w:tab w:val="num" w:pos="4320"/>
        </w:tabs>
        <w:ind w:left="4320" w:hanging="360"/>
      </w:pPr>
      <w:rPr>
        <w:rFonts w:ascii="Wingdings" w:hAnsi="Wingdings" w:hint="default"/>
        <w:sz w:val="20"/>
      </w:rPr>
    </w:lvl>
    <w:lvl w:ilvl="6" w:tplc="1368F560" w:tentative="1">
      <w:start w:val="1"/>
      <w:numFmt w:val="bullet"/>
      <w:lvlText w:val=""/>
      <w:lvlJc w:val="left"/>
      <w:pPr>
        <w:tabs>
          <w:tab w:val="num" w:pos="5040"/>
        </w:tabs>
        <w:ind w:left="5040" w:hanging="360"/>
      </w:pPr>
      <w:rPr>
        <w:rFonts w:ascii="Wingdings" w:hAnsi="Wingdings" w:hint="default"/>
        <w:sz w:val="20"/>
      </w:rPr>
    </w:lvl>
    <w:lvl w:ilvl="7" w:tplc="015213E4" w:tentative="1">
      <w:start w:val="1"/>
      <w:numFmt w:val="bullet"/>
      <w:lvlText w:val=""/>
      <w:lvlJc w:val="left"/>
      <w:pPr>
        <w:tabs>
          <w:tab w:val="num" w:pos="5760"/>
        </w:tabs>
        <w:ind w:left="5760" w:hanging="360"/>
      </w:pPr>
      <w:rPr>
        <w:rFonts w:ascii="Wingdings" w:hAnsi="Wingdings" w:hint="default"/>
        <w:sz w:val="20"/>
      </w:rPr>
    </w:lvl>
    <w:lvl w:ilvl="8" w:tplc="675EFC2E"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CA2995"/>
    <w:multiLevelType w:val="hybridMultilevel"/>
    <w:tmpl w:val="C8C81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F6F4905"/>
    <w:multiLevelType w:val="hybridMultilevel"/>
    <w:tmpl w:val="FACA9A4A"/>
    <w:lvl w:ilvl="0" w:tplc="B8B0A6DC">
      <w:start w:val="1"/>
      <w:numFmt w:val="decimal"/>
      <w:lvlText w:val="%1."/>
      <w:lvlJc w:val="left"/>
      <w:pPr>
        <w:ind w:left="1020" w:hanging="360"/>
      </w:pPr>
    </w:lvl>
    <w:lvl w:ilvl="1" w:tplc="B7D4AE00">
      <w:start w:val="1"/>
      <w:numFmt w:val="decimal"/>
      <w:lvlText w:val="%2."/>
      <w:lvlJc w:val="left"/>
      <w:pPr>
        <w:ind w:left="1020" w:hanging="360"/>
      </w:pPr>
    </w:lvl>
    <w:lvl w:ilvl="2" w:tplc="E7BA59D6">
      <w:start w:val="1"/>
      <w:numFmt w:val="decimal"/>
      <w:lvlText w:val="%3."/>
      <w:lvlJc w:val="left"/>
      <w:pPr>
        <w:ind w:left="1020" w:hanging="360"/>
      </w:pPr>
    </w:lvl>
    <w:lvl w:ilvl="3" w:tplc="E64458B4">
      <w:start w:val="1"/>
      <w:numFmt w:val="decimal"/>
      <w:lvlText w:val="%4."/>
      <w:lvlJc w:val="left"/>
      <w:pPr>
        <w:ind w:left="1020" w:hanging="360"/>
      </w:pPr>
    </w:lvl>
    <w:lvl w:ilvl="4" w:tplc="4AE6E718">
      <w:start w:val="1"/>
      <w:numFmt w:val="decimal"/>
      <w:lvlText w:val="%5."/>
      <w:lvlJc w:val="left"/>
      <w:pPr>
        <w:ind w:left="1020" w:hanging="360"/>
      </w:pPr>
    </w:lvl>
    <w:lvl w:ilvl="5" w:tplc="018E16E0">
      <w:start w:val="1"/>
      <w:numFmt w:val="decimal"/>
      <w:lvlText w:val="%6."/>
      <w:lvlJc w:val="left"/>
      <w:pPr>
        <w:ind w:left="1020" w:hanging="360"/>
      </w:pPr>
    </w:lvl>
    <w:lvl w:ilvl="6" w:tplc="E5B4D8EC">
      <w:start w:val="1"/>
      <w:numFmt w:val="decimal"/>
      <w:lvlText w:val="%7."/>
      <w:lvlJc w:val="left"/>
      <w:pPr>
        <w:ind w:left="1020" w:hanging="360"/>
      </w:pPr>
    </w:lvl>
    <w:lvl w:ilvl="7" w:tplc="860886F0">
      <w:start w:val="1"/>
      <w:numFmt w:val="decimal"/>
      <w:lvlText w:val="%8."/>
      <w:lvlJc w:val="left"/>
      <w:pPr>
        <w:ind w:left="1020" w:hanging="360"/>
      </w:pPr>
    </w:lvl>
    <w:lvl w:ilvl="8" w:tplc="3F343308">
      <w:start w:val="1"/>
      <w:numFmt w:val="decimal"/>
      <w:lvlText w:val="%9."/>
      <w:lvlJc w:val="left"/>
      <w:pPr>
        <w:ind w:left="1020" w:hanging="360"/>
      </w:pPr>
    </w:lvl>
  </w:abstractNum>
  <w:abstractNum w:abstractNumId="14" w15:restartNumberingAfterBreak="0">
    <w:nsid w:val="70BD4F2C"/>
    <w:multiLevelType w:val="hybridMultilevel"/>
    <w:tmpl w:val="2C7A98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3BC480A"/>
    <w:multiLevelType w:val="hybridMultilevel"/>
    <w:tmpl w:val="B6404C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44D7A90"/>
    <w:multiLevelType w:val="hybridMultilevel"/>
    <w:tmpl w:val="7346D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42003">
    <w:abstractNumId w:val="9"/>
  </w:num>
  <w:num w:numId="2" w16cid:durableId="1563248054">
    <w:abstractNumId w:val="11"/>
  </w:num>
  <w:num w:numId="3" w16cid:durableId="1578513243">
    <w:abstractNumId w:val="0"/>
  </w:num>
  <w:num w:numId="4" w16cid:durableId="1591771032">
    <w:abstractNumId w:val="15"/>
  </w:num>
  <w:num w:numId="5" w16cid:durableId="1669944857">
    <w:abstractNumId w:val="2"/>
  </w:num>
  <w:num w:numId="6" w16cid:durableId="1798790414">
    <w:abstractNumId w:val="7"/>
  </w:num>
  <w:num w:numId="7" w16cid:durableId="1819347071">
    <w:abstractNumId w:val="3"/>
  </w:num>
  <w:num w:numId="8" w16cid:durableId="1890649850">
    <w:abstractNumId w:val="6"/>
  </w:num>
  <w:num w:numId="9" w16cid:durableId="1960261311">
    <w:abstractNumId w:val="10"/>
  </w:num>
  <w:num w:numId="10" w16cid:durableId="37702949">
    <w:abstractNumId w:val="8"/>
  </w:num>
  <w:num w:numId="11" w16cid:durableId="646129392">
    <w:abstractNumId w:val="1"/>
  </w:num>
  <w:num w:numId="12" w16cid:durableId="705182894">
    <w:abstractNumId w:val="5"/>
  </w:num>
  <w:num w:numId="13" w16cid:durableId="242183332">
    <w:abstractNumId w:val="4"/>
  </w:num>
  <w:num w:numId="14" w16cid:durableId="1831093001">
    <w:abstractNumId w:val="16"/>
  </w:num>
  <w:num w:numId="15" w16cid:durableId="887179371">
    <w:abstractNumId w:val="14"/>
  </w:num>
  <w:num w:numId="16" w16cid:durableId="752819530">
    <w:abstractNumId w:val="12"/>
  </w:num>
  <w:num w:numId="17" w16cid:durableId="320038029">
    <w:abstractNumId w:val="13"/>
  </w:num>
  <w:num w:numId="18" w16cid:durableId="5893135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58877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E794084-83B0-4B46-BD37-262E0589DDB9}"/>
    <w:docVar w:name="dgnword-eventsink" w:val="507668536"/>
  </w:docVars>
  <w:rsids>
    <w:rsidRoot w:val="00234FB1"/>
    <w:rsid w:val="00001488"/>
    <w:rsid w:val="0000624B"/>
    <w:rsid w:val="00011C34"/>
    <w:rsid w:val="00015BCA"/>
    <w:rsid w:val="0002133D"/>
    <w:rsid w:val="0002135C"/>
    <w:rsid w:val="00024651"/>
    <w:rsid w:val="00025551"/>
    <w:rsid w:val="000269C1"/>
    <w:rsid w:val="00031B63"/>
    <w:rsid w:val="000326B8"/>
    <w:rsid w:val="0004094A"/>
    <w:rsid w:val="00042165"/>
    <w:rsid w:val="00044597"/>
    <w:rsid w:val="00051E47"/>
    <w:rsid w:val="00052CFD"/>
    <w:rsid w:val="000551BC"/>
    <w:rsid w:val="00056230"/>
    <w:rsid w:val="00060311"/>
    <w:rsid w:val="000605E2"/>
    <w:rsid w:val="00065A38"/>
    <w:rsid w:val="00072A33"/>
    <w:rsid w:val="000836B6"/>
    <w:rsid w:val="0008381D"/>
    <w:rsid w:val="00090261"/>
    <w:rsid w:val="000953D2"/>
    <w:rsid w:val="000A0F6D"/>
    <w:rsid w:val="000A6715"/>
    <w:rsid w:val="000B3FFA"/>
    <w:rsid w:val="000B5149"/>
    <w:rsid w:val="000C0633"/>
    <w:rsid w:val="000C13A6"/>
    <w:rsid w:val="000C2C6D"/>
    <w:rsid w:val="000C704A"/>
    <w:rsid w:val="000D2FE4"/>
    <w:rsid w:val="000D420B"/>
    <w:rsid w:val="000D57F1"/>
    <w:rsid w:val="000D615D"/>
    <w:rsid w:val="000E1A71"/>
    <w:rsid w:val="000E530C"/>
    <w:rsid w:val="000F35C3"/>
    <w:rsid w:val="000F69DE"/>
    <w:rsid w:val="000F7542"/>
    <w:rsid w:val="00102779"/>
    <w:rsid w:val="00104C97"/>
    <w:rsid w:val="00105382"/>
    <w:rsid w:val="001073E2"/>
    <w:rsid w:val="00111202"/>
    <w:rsid w:val="00112EA1"/>
    <w:rsid w:val="00122556"/>
    <w:rsid w:val="00125C9F"/>
    <w:rsid w:val="00136BCB"/>
    <w:rsid w:val="00136C98"/>
    <w:rsid w:val="001419B0"/>
    <w:rsid w:val="00145BF9"/>
    <w:rsid w:val="001460F2"/>
    <w:rsid w:val="001469F2"/>
    <w:rsid w:val="00150A4F"/>
    <w:rsid w:val="00156FE0"/>
    <w:rsid w:val="00166BDA"/>
    <w:rsid w:val="00167065"/>
    <w:rsid w:val="001701FA"/>
    <w:rsid w:val="00172025"/>
    <w:rsid w:val="00173016"/>
    <w:rsid w:val="001745F3"/>
    <w:rsid w:val="00174C6A"/>
    <w:rsid w:val="001774E7"/>
    <w:rsid w:val="001809A6"/>
    <w:rsid w:val="001812EC"/>
    <w:rsid w:val="001879A2"/>
    <w:rsid w:val="00194050"/>
    <w:rsid w:val="00197A2C"/>
    <w:rsid w:val="001A7AC7"/>
    <w:rsid w:val="001B0FCA"/>
    <w:rsid w:val="001B10A6"/>
    <w:rsid w:val="001B14C3"/>
    <w:rsid w:val="001B154E"/>
    <w:rsid w:val="001B1D3A"/>
    <w:rsid w:val="001B3DF4"/>
    <w:rsid w:val="001B74DB"/>
    <w:rsid w:val="001C0376"/>
    <w:rsid w:val="001C1D45"/>
    <w:rsid w:val="001C390E"/>
    <w:rsid w:val="001C492F"/>
    <w:rsid w:val="001C4D91"/>
    <w:rsid w:val="001D59D3"/>
    <w:rsid w:val="001D6D0B"/>
    <w:rsid w:val="001E3C39"/>
    <w:rsid w:val="001F39F1"/>
    <w:rsid w:val="001F4753"/>
    <w:rsid w:val="001F7E28"/>
    <w:rsid w:val="002005AF"/>
    <w:rsid w:val="00204A3F"/>
    <w:rsid w:val="00207097"/>
    <w:rsid w:val="00214217"/>
    <w:rsid w:val="00214BD5"/>
    <w:rsid w:val="00216336"/>
    <w:rsid w:val="0023001E"/>
    <w:rsid w:val="002306C0"/>
    <w:rsid w:val="00231898"/>
    <w:rsid w:val="00233072"/>
    <w:rsid w:val="002333FF"/>
    <w:rsid w:val="002338B6"/>
    <w:rsid w:val="00234FB1"/>
    <w:rsid w:val="0024060B"/>
    <w:rsid w:val="00242350"/>
    <w:rsid w:val="00247F5D"/>
    <w:rsid w:val="00256A7C"/>
    <w:rsid w:val="00256B7C"/>
    <w:rsid w:val="00263D6D"/>
    <w:rsid w:val="0026696C"/>
    <w:rsid w:val="002672C6"/>
    <w:rsid w:val="002721F5"/>
    <w:rsid w:val="00277178"/>
    <w:rsid w:val="002810B3"/>
    <w:rsid w:val="00283741"/>
    <w:rsid w:val="0028432D"/>
    <w:rsid w:val="00285AE4"/>
    <w:rsid w:val="0029087E"/>
    <w:rsid w:val="00291626"/>
    <w:rsid w:val="002923D8"/>
    <w:rsid w:val="00296749"/>
    <w:rsid w:val="002A3C0A"/>
    <w:rsid w:val="002A4A34"/>
    <w:rsid w:val="002A7C7B"/>
    <w:rsid w:val="002B5188"/>
    <w:rsid w:val="002C348F"/>
    <w:rsid w:val="002C58C2"/>
    <w:rsid w:val="002C6A2D"/>
    <w:rsid w:val="002D588A"/>
    <w:rsid w:val="002D7403"/>
    <w:rsid w:val="002E0510"/>
    <w:rsid w:val="002E1E3F"/>
    <w:rsid w:val="002E5E26"/>
    <w:rsid w:val="002F03D1"/>
    <w:rsid w:val="00305016"/>
    <w:rsid w:val="003105FC"/>
    <w:rsid w:val="00312A88"/>
    <w:rsid w:val="00313EAD"/>
    <w:rsid w:val="00314926"/>
    <w:rsid w:val="003164B3"/>
    <w:rsid w:val="00316CFA"/>
    <w:rsid w:val="0032263F"/>
    <w:rsid w:val="00324507"/>
    <w:rsid w:val="003265CD"/>
    <w:rsid w:val="00332704"/>
    <w:rsid w:val="00337D5D"/>
    <w:rsid w:val="00341FB4"/>
    <w:rsid w:val="00346222"/>
    <w:rsid w:val="00346FB7"/>
    <w:rsid w:val="003479E5"/>
    <w:rsid w:val="00351656"/>
    <w:rsid w:val="00351FB3"/>
    <w:rsid w:val="003600A0"/>
    <w:rsid w:val="0036178C"/>
    <w:rsid w:val="0036325A"/>
    <w:rsid w:val="00372C83"/>
    <w:rsid w:val="00384D20"/>
    <w:rsid w:val="0038796B"/>
    <w:rsid w:val="003920BB"/>
    <w:rsid w:val="003921A8"/>
    <w:rsid w:val="00392FBF"/>
    <w:rsid w:val="00392FFA"/>
    <w:rsid w:val="00394E09"/>
    <w:rsid w:val="00397CC8"/>
    <w:rsid w:val="003A0CE6"/>
    <w:rsid w:val="003A1C7E"/>
    <w:rsid w:val="003A585B"/>
    <w:rsid w:val="003A6474"/>
    <w:rsid w:val="003B2E05"/>
    <w:rsid w:val="003C0C9D"/>
    <w:rsid w:val="003C0F19"/>
    <w:rsid w:val="003C3306"/>
    <w:rsid w:val="003C3527"/>
    <w:rsid w:val="003D1355"/>
    <w:rsid w:val="003D255A"/>
    <w:rsid w:val="003E21E9"/>
    <w:rsid w:val="003E2ADA"/>
    <w:rsid w:val="003E4D33"/>
    <w:rsid w:val="003E5FA2"/>
    <w:rsid w:val="003F19A1"/>
    <w:rsid w:val="003F2692"/>
    <w:rsid w:val="003F5E84"/>
    <w:rsid w:val="00400881"/>
    <w:rsid w:val="00404743"/>
    <w:rsid w:val="0040610F"/>
    <w:rsid w:val="0041156E"/>
    <w:rsid w:val="0041320E"/>
    <w:rsid w:val="0041411B"/>
    <w:rsid w:val="00417923"/>
    <w:rsid w:val="0042003A"/>
    <w:rsid w:val="00421344"/>
    <w:rsid w:val="004226DE"/>
    <w:rsid w:val="00422874"/>
    <w:rsid w:val="00425847"/>
    <w:rsid w:val="004303DB"/>
    <w:rsid w:val="00430BD8"/>
    <w:rsid w:val="00435583"/>
    <w:rsid w:val="004410F7"/>
    <w:rsid w:val="00442064"/>
    <w:rsid w:val="0044343E"/>
    <w:rsid w:val="00444461"/>
    <w:rsid w:val="00444830"/>
    <w:rsid w:val="00445F69"/>
    <w:rsid w:val="00447F7E"/>
    <w:rsid w:val="00454847"/>
    <w:rsid w:val="004636CF"/>
    <w:rsid w:val="004642E2"/>
    <w:rsid w:val="00467246"/>
    <w:rsid w:val="00471375"/>
    <w:rsid w:val="004736E4"/>
    <w:rsid w:val="00476D19"/>
    <w:rsid w:val="004816FA"/>
    <w:rsid w:val="00487F02"/>
    <w:rsid w:val="00492AB4"/>
    <w:rsid w:val="004931C1"/>
    <w:rsid w:val="004935F7"/>
    <w:rsid w:val="00494C0F"/>
    <w:rsid w:val="00495A21"/>
    <w:rsid w:val="004B3420"/>
    <w:rsid w:val="004B3438"/>
    <w:rsid w:val="004B624B"/>
    <w:rsid w:val="004B6C59"/>
    <w:rsid w:val="004C05A1"/>
    <w:rsid w:val="004C1026"/>
    <w:rsid w:val="004C1EB9"/>
    <w:rsid w:val="004C2B69"/>
    <w:rsid w:val="004C4515"/>
    <w:rsid w:val="004C4F82"/>
    <w:rsid w:val="004E1D02"/>
    <w:rsid w:val="004F0CBE"/>
    <w:rsid w:val="00500360"/>
    <w:rsid w:val="005048CB"/>
    <w:rsid w:val="00504FB4"/>
    <w:rsid w:val="0050526A"/>
    <w:rsid w:val="005100EA"/>
    <w:rsid w:val="005125E9"/>
    <w:rsid w:val="00512857"/>
    <w:rsid w:val="00513E4F"/>
    <w:rsid w:val="00516667"/>
    <w:rsid w:val="00522D93"/>
    <w:rsid w:val="00522E37"/>
    <w:rsid w:val="005250B2"/>
    <w:rsid w:val="00535504"/>
    <w:rsid w:val="00541B64"/>
    <w:rsid w:val="00545B7A"/>
    <w:rsid w:val="0054744E"/>
    <w:rsid w:val="00547688"/>
    <w:rsid w:val="00550D15"/>
    <w:rsid w:val="00550E0F"/>
    <w:rsid w:val="005524BC"/>
    <w:rsid w:val="005530A6"/>
    <w:rsid w:val="00557E8F"/>
    <w:rsid w:val="00560E33"/>
    <w:rsid w:val="005638EB"/>
    <w:rsid w:val="00565242"/>
    <w:rsid w:val="00565908"/>
    <w:rsid w:val="005672D0"/>
    <w:rsid w:val="0057168E"/>
    <w:rsid w:val="0057537C"/>
    <w:rsid w:val="0058054E"/>
    <w:rsid w:val="005831CA"/>
    <w:rsid w:val="005850DB"/>
    <w:rsid w:val="00585E36"/>
    <w:rsid w:val="00590706"/>
    <w:rsid w:val="00591B81"/>
    <w:rsid w:val="00594F63"/>
    <w:rsid w:val="0059550F"/>
    <w:rsid w:val="0059601B"/>
    <w:rsid w:val="00596F9A"/>
    <w:rsid w:val="005A09A7"/>
    <w:rsid w:val="005A7534"/>
    <w:rsid w:val="005B39AA"/>
    <w:rsid w:val="005B65EF"/>
    <w:rsid w:val="005C313A"/>
    <w:rsid w:val="005C3FBB"/>
    <w:rsid w:val="005D1992"/>
    <w:rsid w:val="005D21CE"/>
    <w:rsid w:val="005D436C"/>
    <w:rsid w:val="005E0D1B"/>
    <w:rsid w:val="005E21D5"/>
    <w:rsid w:val="005E494F"/>
    <w:rsid w:val="005F29C6"/>
    <w:rsid w:val="005F2A32"/>
    <w:rsid w:val="005F2FDD"/>
    <w:rsid w:val="005F4D2E"/>
    <w:rsid w:val="005F5DF9"/>
    <w:rsid w:val="005F785F"/>
    <w:rsid w:val="006004B7"/>
    <w:rsid w:val="00600852"/>
    <w:rsid w:val="00600B21"/>
    <w:rsid w:val="00604CF2"/>
    <w:rsid w:val="006051BD"/>
    <w:rsid w:val="00605D4B"/>
    <w:rsid w:val="00612463"/>
    <w:rsid w:val="00620855"/>
    <w:rsid w:val="006212BC"/>
    <w:rsid w:val="006221A1"/>
    <w:rsid w:val="00625DA5"/>
    <w:rsid w:val="00630A23"/>
    <w:rsid w:val="00631139"/>
    <w:rsid w:val="00631D49"/>
    <w:rsid w:val="00633B2D"/>
    <w:rsid w:val="00634F96"/>
    <w:rsid w:val="006354B6"/>
    <w:rsid w:val="006406BB"/>
    <w:rsid w:val="00641299"/>
    <w:rsid w:val="00643373"/>
    <w:rsid w:val="0064492D"/>
    <w:rsid w:val="006451B6"/>
    <w:rsid w:val="006510A9"/>
    <w:rsid w:val="006549F4"/>
    <w:rsid w:val="00655D41"/>
    <w:rsid w:val="00664E69"/>
    <w:rsid w:val="00665D0B"/>
    <w:rsid w:val="00672D04"/>
    <w:rsid w:val="00680E83"/>
    <w:rsid w:val="00680EDA"/>
    <w:rsid w:val="00681EC4"/>
    <w:rsid w:val="00682BEF"/>
    <w:rsid w:val="00684864"/>
    <w:rsid w:val="006856B4"/>
    <w:rsid w:val="006951CC"/>
    <w:rsid w:val="006959E0"/>
    <w:rsid w:val="006A1418"/>
    <w:rsid w:val="006B07F2"/>
    <w:rsid w:val="006B5DD1"/>
    <w:rsid w:val="006C2C33"/>
    <w:rsid w:val="006C3CC8"/>
    <w:rsid w:val="006C4038"/>
    <w:rsid w:val="006C656D"/>
    <w:rsid w:val="006D4982"/>
    <w:rsid w:val="006E44F6"/>
    <w:rsid w:val="006F7F69"/>
    <w:rsid w:val="00700F0B"/>
    <w:rsid w:val="007061C4"/>
    <w:rsid w:val="00706A09"/>
    <w:rsid w:val="00707216"/>
    <w:rsid w:val="00711F24"/>
    <w:rsid w:val="00715084"/>
    <w:rsid w:val="00715164"/>
    <w:rsid w:val="00715904"/>
    <w:rsid w:val="007177CA"/>
    <w:rsid w:val="00723ED7"/>
    <w:rsid w:val="007267B6"/>
    <w:rsid w:val="00730DFD"/>
    <w:rsid w:val="0073561A"/>
    <w:rsid w:val="00736DB7"/>
    <w:rsid w:val="00757BDD"/>
    <w:rsid w:val="007600D1"/>
    <w:rsid w:val="00760B9D"/>
    <w:rsid w:val="0076377F"/>
    <w:rsid w:val="007637F8"/>
    <w:rsid w:val="00763BF2"/>
    <w:rsid w:val="007646CA"/>
    <w:rsid w:val="007659B9"/>
    <w:rsid w:val="007667CD"/>
    <w:rsid w:val="007717E3"/>
    <w:rsid w:val="00773F5A"/>
    <w:rsid w:val="00775F2C"/>
    <w:rsid w:val="0078272D"/>
    <w:rsid w:val="007834D9"/>
    <w:rsid w:val="00787CCE"/>
    <w:rsid w:val="00796F0D"/>
    <w:rsid w:val="007A1DEF"/>
    <w:rsid w:val="007A314E"/>
    <w:rsid w:val="007A633F"/>
    <w:rsid w:val="007A6F09"/>
    <w:rsid w:val="007A7424"/>
    <w:rsid w:val="007A7867"/>
    <w:rsid w:val="007B1702"/>
    <w:rsid w:val="007B59DE"/>
    <w:rsid w:val="007B74C5"/>
    <w:rsid w:val="007C12E0"/>
    <w:rsid w:val="007C6379"/>
    <w:rsid w:val="007D0638"/>
    <w:rsid w:val="007D09F2"/>
    <w:rsid w:val="007D0C97"/>
    <w:rsid w:val="007D1BEF"/>
    <w:rsid w:val="007D5A8B"/>
    <w:rsid w:val="007D61FE"/>
    <w:rsid w:val="007E02D0"/>
    <w:rsid w:val="007E49B2"/>
    <w:rsid w:val="007E505E"/>
    <w:rsid w:val="007E6858"/>
    <w:rsid w:val="007F0381"/>
    <w:rsid w:val="007F0C63"/>
    <w:rsid w:val="007F1EB6"/>
    <w:rsid w:val="007F255B"/>
    <w:rsid w:val="00800F57"/>
    <w:rsid w:val="00801196"/>
    <w:rsid w:val="00802EF7"/>
    <w:rsid w:val="0080511D"/>
    <w:rsid w:val="00806E4E"/>
    <w:rsid w:val="00807564"/>
    <w:rsid w:val="008111C4"/>
    <w:rsid w:val="00816924"/>
    <w:rsid w:val="00821C32"/>
    <w:rsid w:val="008237EC"/>
    <w:rsid w:val="00825C74"/>
    <w:rsid w:val="008323DF"/>
    <w:rsid w:val="00840E99"/>
    <w:rsid w:val="00840F8C"/>
    <w:rsid w:val="00843354"/>
    <w:rsid w:val="00843507"/>
    <w:rsid w:val="00850D44"/>
    <w:rsid w:val="00853337"/>
    <w:rsid w:val="00856ADB"/>
    <w:rsid w:val="00860483"/>
    <w:rsid w:val="00861E2C"/>
    <w:rsid w:val="00861F1F"/>
    <w:rsid w:val="00863C40"/>
    <w:rsid w:val="00866250"/>
    <w:rsid w:val="00870FC6"/>
    <w:rsid w:val="0087539E"/>
    <w:rsid w:val="00876F6C"/>
    <w:rsid w:val="00885996"/>
    <w:rsid w:val="008864F9"/>
    <w:rsid w:val="00886BF8"/>
    <w:rsid w:val="00890BC2"/>
    <w:rsid w:val="00896F9C"/>
    <w:rsid w:val="008B11B9"/>
    <w:rsid w:val="008B1899"/>
    <w:rsid w:val="008B38C2"/>
    <w:rsid w:val="008B4504"/>
    <w:rsid w:val="008B7669"/>
    <w:rsid w:val="008C1686"/>
    <w:rsid w:val="008C331A"/>
    <w:rsid w:val="008C4675"/>
    <w:rsid w:val="008D01FB"/>
    <w:rsid w:val="008D12DD"/>
    <w:rsid w:val="008D3AD7"/>
    <w:rsid w:val="008E30E5"/>
    <w:rsid w:val="008E6675"/>
    <w:rsid w:val="008F19BE"/>
    <w:rsid w:val="008F5140"/>
    <w:rsid w:val="00900E00"/>
    <w:rsid w:val="00902F1B"/>
    <w:rsid w:val="0090403B"/>
    <w:rsid w:val="009043F9"/>
    <w:rsid w:val="00906122"/>
    <w:rsid w:val="00913E26"/>
    <w:rsid w:val="009143CE"/>
    <w:rsid w:val="00917B26"/>
    <w:rsid w:val="00921283"/>
    <w:rsid w:val="00925542"/>
    <w:rsid w:val="0093162B"/>
    <w:rsid w:val="00932A56"/>
    <w:rsid w:val="0093362E"/>
    <w:rsid w:val="0093725B"/>
    <w:rsid w:val="00940A99"/>
    <w:rsid w:val="00940B69"/>
    <w:rsid w:val="00945896"/>
    <w:rsid w:val="00946E2F"/>
    <w:rsid w:val="00950FF6"/>
    <w:rsid w:val="009545AF"/>
    <w:rsid w:val="00954D90"/>
    <w:rsid w:val="009564CC"/>
    <w:rsid w:val="00962BD9"/>
    <w:rsid w:val="00965E8D"/>
    <w:rsid w:val="009664E8"/>
    <w:rsid w:val="00970724"/>
    <w:rsid w:val="00972658"/>
    <w:rsid w:val="009728C5"/>
    <w:rsid w:val="00976DE3"/>
    <w:rsid w:val="00983554"/>
    <w:rsid w:val="00985962"/>
    <w:rsid w:val="00993521"/>
    <w:rsid w:val="0099395F"/>
    <w:rsid w:val="009A05BA"/>
    <w:rsid w:val="009A4D71"/>
    <w:rsid w:val="009A52F0"/>
    <w:rsid w:val="009B19D3"/>
    <w:rsid w:val="009B1C7E"/>
    <w:rsid w:val="009B543C"/>
    <w:rsid w:val="009B5716"/>
    <w:rsid w:val="009B6935"/>
    <w:rsid w:val="009C0B84"/>
    <w:rsid w:val="009C144E"/>
    <w:rsid w:val="009D2013"/>
    <w:rsid w:val="009D2BAB"/>
    <w:rsid w:val="009D3681"/>
    <w:rsid w:val="009D42F8"/>
    <w:rsid w:val="009D6352"/>
    <w:rsid w:val="009D6C8B"/>
    <w:rsid w:val="009E21F9"/>
    <w:rsid w:val="009E5413"/>
    <w:rsid w:val="009E59E1"/>
    <w:rsid w:val="009E60A3"/>
    <w:rsid w:val="009F00F7"/>
    <w:rsid w:val="009F1B70"/>
    <w:rsid w:val="009F563A"/>
    <w:rsid w:val="009F5818"/>
    <w:rsid w:val="009F7F73"/>
    <w:rsid w:val="00A00CCB"/>
    <w:rsid w:val="00A02970"/>
    <w:rsid w:val="00A100DC"/>
    <w:rsid w:val="00A129D4"/>
    <w:rsid w:val="00A135A8"/>
    <w:rsid w:val="00A15745"/>
    <w:rsid w:val="00A170D6"/>
    <w:rsid w:val="00A2016B"/>
    <w:rsid w:val="00A21E9E"/>
    <w:rsid w:val="00A274EA"/>
    <w:rsid w:val="00A31680"/>
    <w:rsid w:val="00A345A9"/>
    <w:rsid w:val="00A42398"/>
    <w:rsid w:val="00A43812"/>
    <w:rsid w:val="00A46E37"/>
    <w:rsid w:val="00A50B6C"/>
    <w:rsid w:val="00A51D3D"/>
    <w:rsid w:val="00A530BE"/>
    <w:rsid w:val="00A533A8"/>
    <w:rsid w:val="00A53C85"/>
    <w:rsid w:val="00A62CEE"/>
    <w:rsid w:val="00A649B4"/>
    <w:rsid w:val="00A64D6E"/>
    <w:rsid w:val="00A673BC"/>
    <w:rsid w:val="00A70283"/>
    <w:rsid w:val="00A7056D"/>
    <w:rsid w:val="00A70A01"/>
    <w:rsid w:val="00A74E75"/>
    <w:rsid w:val="00A75ACE"/>
    <w:rsid w:val="00A84B76"/>
    <w:rsid w:val="00A85ECC"/>
    <w:rsid w:val="00A905AC"/>
    <w:rsid w:val="00A90989"/>
    <w:rsid w:val="00A93AAD"/>
    <w:rsid w:val="00A93D87"/>
    <w:rsid w:val="00A94151"/>
    <w:rsid w:val="00A97629"/>
    <w:rsid w:val="00AA41F0"/>
    <w:rsid w:val="00AA4791"/>
    <w:rsid w:val="00AA6B4F"/>
    <w:rsid w:val="00AB10BF"/>
    <w:rsid w:val="00AB1B45"/>
    <w:rsid w:val="00AB4FCA"/>
    <w:rsid w:val="00AD06BC"/>
    <w:rsid w:val="00AE403F"/>
    <w:rsid w:val="00AE4AA9"/>
    <w:rsid w:val="00AE4C49"/>
    <w:rsid w:val="00AE4E81"/>
    <w:rsid w:val="00AE7314"/>
    <w:rsid w:val="00AE7B2B"/>
    <w:rsid w:val="00AF132A"/>
    <w:rsid w:val="00AF20F6"/>
    <w:rsid w:val="00B01F35"/>
    <w:rsid w:val="00B03A61"/>
    <w:rsid w:val="00B054A4"/>
    <w:rsid w:val="00B07F16"/>
    <w:rsid w:val="00B1020B"/>
    <w:rsid w:val="00B10436"/>
    <w:rsid w:val="00B11750"/>
    <w:rsid w:val="00B20DFB"/>
    <w:rsid w:val="00B22E8A"/>
    <w:rsid w:val="00B30D96"/>
    <w:rsid w:val="00B31C90"/>
    <w:rsid w:val="00B32CDC"/>
    <w:rsid w:val="00B32EB1"/>
    <w:rsid w:val="00B3395F"/>
    <w:rsid w:val="00B35355"/>
    <w:rsid w:val="00B3601A"/>
    <w:rsid w:val="00B36BDB"/>
    <w:rsid w:val="00B42915"/>
    <w:rsid w:val="00B44898"/>
    <w:rsid w:val="00B521CC"/>
    <w:rsid w:val="00B5279B"/>
    <w:rsid w:val="00B52FBB"/>
    <w:rsid w:val="00B540A7"/>
    <w:rsid w:val="00B574E9"/>
    <w:rsid w:val="00B62435"/>
    <w:rsid w:val="00B64AA2"/>
    <w:rsid w:val="00B6570D"/>
    <w:rsid w:val="00B6739C"/>
    <w:rsid w:val="00B70051"/>
    <w:rsid w:val="00B70C88"/>
    <w:rsid w:val="00B715B8"/>
    <w:rsid w:val="00B74CE9"/>
    <w:rsid w:val="00B757E2"/>
    <w:rsid w:val="00B773B8"/>
    <w:rsid w:val="00B776FC"/>
    <w:rsid w:val="00B84630"/>
    <w:rsid w:val="00B86C76"/>
    <w:rsid w:val="00BA6044"/>
    <w:rsid w:val="00BA64AA"/>
    <w:rsid w:val="00BA6669"/>
    <w:rsid w:val="00BB4A54"/>
    <w:rsid w:val="00BB6117"/>
    <w:rsid w:val="00BC264F"/>
    <w:rsid w:val="00BC37F4"/>
    <w:rsid w:val="00BC3D19"/>
    <w:rsid w:val="00BC4042"/>
    <w:rsid w:val="00BC47BA"/>
    <w:rsid w:val="00BD060A"/>
    <w:rsid w:val="00BE1421"/>
    <w:rsid w:val="00BE3896"/>
    <w:rsid w:val="00BE3979"/>
    <w:rsid w:val="00BE527A"/>
    <w:rsid w:val="00BF0249"/>
    <w:rsid w:val="00BF11AE"/>
    <w:rsid w:val="00BF25CC"/>
    <w:rsid w:val="00BF5476"/>
    <w:rsid w:val="00BF6F39"/>
    <w:rsid w:val="00C04C1E"/>
    <w:rsid w:val="00C05110"/>
    <w:rsid w:val="00C112A6"/>
    <w:rsid w:val="00C11458"/>
    <w:rsid w:val="00C134E9"/>
    <w:rsid w:val="00C21654"/>
    <w:rsid w:val="00C22C17"/>
    <w:rsid w:val="00C22EBE"/>
    <w:rsid w:val="00C25B91"/>
    <w:rsid w:val="00C268F0"/>
    <w:rsid w:val="00C27800"/>
    <w:rsid w:val="00C35BFE"/>
    <w:rsid w:val="00C37068"/>
    <w:rsid w:val="00C431A0"/>
    <w:rsid w:val="00C43A6B"/>
    <w:rsid w:val="00C43DED"/>
    <w:rsid w:val="00C466C1"/>
    <w:rsid w:val="00C50368"/>
    <w:rsid w:val="00C51AAE"/>
    <w:rsid w:val="00C56A72"/>
    <w:rsid w:val="00C61746"/>
    <w:rsid w:val="00C623FB"/>
    <w:rsid w:val="00C676EE"/>
    <w:rsid w:val="00C747EC"/>
    <w:rsid w:val="00C84585"/>
    <w:rsid w:val="00C8772B"/>
    <w:rsid w:val="00C92FF9"/>
    <w:rsid w:val="00C9316D"/>
    <w:rsid w:val="00C946D7"/>
    <w:rsid w:val="00CB18C7"/>
    <w:rsid w:val="00CB3CA3"/>
    <w:rsid w:val="00CB71D6"/>
    <w:rsid w:val="00CB7A9F"/>
    <w:rsid w:val="00CB7E53"/>
    <w:rsid w:val="00CC64D1"/>
    <w:rsid w:val="00CC7E5F"/>
    <w:rsid w:val="00CD05E9"/>
    <w:rsid w:val="00CD2365"/>
    <w:rsid w:val="00CD47A9"/>
    <w:rsid w:val="00CE5B91"/>
    <w:rsid w:val="00CE65FC"/>
    <w:rsid w:val="00CE69F3"/>
    <w:rsid w:val="00CE7E4B"/>
    <w:rsid w:val="00CE7F69"/>
    <w:rsid w:val="00CF03DB"/>
    <w:rsid w:val="00CF520A"/>
    <w:rsid w:val="00CF56C3"/>
    <w:rsid w:val="00CF5ECC"/>
    <w:rsid w:val="00D0187A"/>
    <w:rsid w:val="00D02C1B"/>
    <w:rsid w:val="00D02D55"/>
    <w:rsid w:val="00D055B3"/>
    <w:rsid w:val="00D1370F"/>
    <w:rsid w:val="00D1428E"/>
    <w:rsid w:val="00D14350"/>
    <w:rsid w:val="00D216BD"/>
    <w:rsid w:val="00D21A79"/>
    <w:rsid w:val="00D270D5"/>
    <w:rsid w:val="00D35BB2"/>
    <w:rsid w:val="00D35C50"/>
    <w:rsid w:val="00D41422"/>
    <w:rsid w:val="00D443BB"/>
    <w:rsid w:val="00D50139"/>
    <w:rsid w:val="00D506AA"/>
    <w:rsid w:val="00D604DD"/>
    <w:rsid w:val="00D62489"/>
    <w:rsid w:val="00D6521A"/>
    <w:rsid w:val="00D65C7F"/>
    <w:rsid w:val="00D65D67"/>
    <w:rsid w:val="00D66B25"/>
    <w:rsid w:val="00D74CBC"/>
    <w:rsid w:val="00D75994"/>
    <w:rsid w:val="00D814DF"/>
    <w:rsid w:val="00D83A67"/>
    <w:rsid w:val="00D87B96"/>
    <w:rsid w:val="00D91753"/>
    <w:rsid w:val="00D91F3C"/>
    <w:rsid w:val="00D92D6E"/>
    <w:rsid w:val="00D9586E"/>
    <w:rsid w:val="00DB14F4"/>
    <w:rsid w:val="00DB4789"/>
    <w:rsid w:val="00DC1967"/>
    <w:rsid w:val="00DC2EC1"/>
    <w:rsid w:val="00DC47EA"/>
    <w:rsid w:val="00DC4F7F"/>
    <w:rsid w:val="00DC598A"/>
    <w:rsid w:val="00DC5EA6"/>
    <w:rsid w:val="00DC6CBD"/>
    <w:rsid w:val="00DD0668"/>
    <w:rsid w:val="00DD0C25"/>
    <w:rsid w:val="00DD0E55"/>
    <w:rsid w:val="00DE0DAA"/>
    <w:rsid w:val="00DE6AA9"/>
    <w:rsid w:val="00DF01F8"/>
    <w:rsid w:val="00DF0E4D"/>
    <w:rsid w:val="00DF3E39"/>
    <w:rsid w:val="00DF4F6D"/>
    <w:rsid w:val="00DF641A"/>
    <w:rsid w:val="00E02271"/>
    <w:rsid w:val="00E05A32"/>
    <w:rsid w:val="00E0628E"/>
    <w:rsid w:val="00E116E0"/>
    <w:rsid w:val="00E11A87"/>
    <w:rsid w:val="00E15314"/>
    <w:rsid w:val="00E1751F"/>
    <w:rsid w:val="00E219D0"/>
    <w:rsid w:val="00E2271B"/>
    <w:rsid w:val="00E24216"/>
    <w:rsid w:val="00E244DD"/>
    <w:rsid w:val="00E24A01"/>
    <w:rsid w:val="00E24E3B"/>
    <w:rsid w:val="00E25275"/>
    <w:rsid w:val="00E30240"/>
    <w:rsid w:val="00E475CD"/>
    <w:rsid w:val="00E50461"/>
    <w:rsid w:val="00E53F75"/>
    <w:rsid w:val="00E548EF"/>
    <w:rsid w:val="00E55480"/>
    <w:rsid w:val="00E55A82"/>
    <w:rsid w:val="00E62C18"/>
    <w:rsid w:val="00E6710F"/>
    <w:rsid w:val="00E672F4"/>
    <w:rsid w:val="00E77DA5"/>
    <w:rsid w:val="00E81DA0"/>
    <w:rsid w:val="00E82FDA"/>
    <w:rsid w:val="00E8471A"/>
    <w:rsid w:val="00E84EFE"/>
    <w:rsid w:val="00E86725"/>
    <w:rsid w:val="00E87501"/>
    <w:rsid w:val="00E918F7"/>
    <w:rsid w:val="00E9243F"/>
    <w:rsid w:val="00E92C57"/>
    <w:rsid w:val="00EA74A9"/>
    <w:rsid w:val="00EB0343"/>
    <w:rsid w:val="00EB2DE5"/>
    <w:rsid w:val="00EB7F4E"/>
    <w:rsid w:val="00EC0987"/>
    <w:rsid w:val="00ED4386"/>
    <w:rsid w:val="00ED4A64"/>
    <w:rsid w:val="00ED70F9"/>
    <w:rsid w:val="00ED79AA"/>
    <w:rsid w:val="00EE02CD"/>
    <w:rsid w:val="00EE0D0B"/>
    <w:rsid w:val="00EE1581"/>
    <w:rsid w:val="00EE5875"/>
    <w:rsid w:val="00EF402B"/>
    <w:rsid w:val="00F000AA"/>
    <w:rsid w:val="00F02C13"/>
    <w:rsid w:val="00F065C3"/>
    <w:rsid w:val="00F1327C"/>
    <w:rsid w:val="00F233AA"/>
    <w:rsid w:val="00F242E4"/>
    <w:rsid w:val="00F24DB1"/>
    <w:rsid w:val="00F3730E"/>
    <w:rsid w:val="00F37C16"/>
    <w:rsid w:val="00F41BF5"/>
    <w:rsid w:val="00F44BB3"/>
    <w:rsid w:val="00F44EDF"/>
    <w:rsid w:val="00F545A0"/>
    <w:rsid w:val="00F556DA"/>
    <w:rsid w:val="00F60CD6"/>
    <w:rsid w:val="00F62768"/>
    <w:rsid w:val="00F64982"/>
    <w:rsid w:val="00F6575C"/>
    <w:rsid w:val="00F67F16"/>
    <w:rsid w:val="00F70E2A"/>
    <w:rsid w:val="00F72160"/>
    <w:rsid w:val="00F7390D"/>
    <w:rsid w:val="00F75470"/>
    <w:rsid w:val="00F76F0C"/>
    <w:rsid w:val="00F80786"/>
    <w:rsid w:val="00F82C38"/>
    <w:rsid w:val="00F872A7"/>
    <w:rsid w:val="00F87FB6"/>
    <w:rsid w:val="00F9032E"/>
    <w:rsid w:val="00F90C51"/>
    <w:rsid w:val="00F91167"/>
    <w:rsid w:val="00FA1F3E"/>
    <w:rsid w:val="00FA5A5E"/>
    <w:rsid w:val="00FA6525"/>
    <w:rsid w:val="00FA6FC5"/>
    <w:rsid w:val="00FB102B"/>
    <w:rsid w:val="00FB46A5"/>
    <w:rsid w:val="00FC16FF"/>
    <w:rsid w:val="00FC3210"/>
    <w:rsid w:val="00FC525F"/>
    <w:rsid w:val="00FC533D"/>
    <w:rsid w:val="00FD19F2"/>
    <w:rsid w:val="00FD207B"/>
    <w:rsid w:val="00FD2D36"/>
    <w:rsid w:val="00FD4E04"/>
    <w:rsid w:val="00FD5FBF"/>
    <w:rsid w:val="00FE072A"/>
    <w:rsid w:val="00FE341D"/>
    <w:rsid w:val="00FF4695"/>
    <w:rsid w:val="00FF4D6E"/>
    <w:rsid w:val="00FF51E1"/>
    <w:rsid w:val="24F10DA1"/>
    <w:rsid w:val="31947077"/>
    <w:rsid w:val="32B7580C"/>
    <w:rsid w:val="3456CA8C"/>
    <w:rsid w:val="3C2F1853"/>
    <w:rsid w:val="403B12D5"/>
    <w:rsid w:val="43E33330"/>
    <w:rsid w:val="52881F92"/>
    <w:rsid w:val="5B657E6C"/>
    <w:rsid w:val="6B3BEF47"/>
    <w:rsid w:val="7356EB4F"/>
    <w:rsid w:val="747ED279"/>
    <w:rsid w:val="7B6EB4C7"/>
    <w:rsid w:val="7D65F3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C61CDF"/>
  <w15:docId w15:val="{59573596-D9DA-4201-B0E8-4E2AD5852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1A71"/>
    <w:rPr>
      <w:sz w:val="24"/>
      <w:szCs w:val="24"/>
    </w:rPr>
  </w:style>
  <w:style w:type="paragraph" w:styleId="berschrift2">
    <w:name w:val="heading 2"/>
    <w:basedOn w:val="Standard"/>
    <w:link w:val="berschrift2Zchn"/>
    <w:uiPriority w:val="99"/>
    <w:qFormat/>
    <w:rsid w:val="004E1D02"/>
    <w:pPr>
      <w:spacing w:before="100" w:beforeAutospacing="1" w:after="100" w:afterAutospacing="1"/>
      <w:outlineLvl w:val="1"/>
    </w:pPr>
    <w:rPr>
      <w:rFonts w:ascii="Arial" w:hAnsi="Arial" w:cs="Arial"/>
      <w:b/>
      <w:bCs/>
      <w:color w:val="000000"/>
      <w:sz w:val="30"/>
      <w:szCs w:val="3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berschrift2Zchn">
    <w:name w:val="Überschrift 2 Zchn"/>
    <w:basedOn w:val="Absatz-Standardschriftart"/>
    <w:link w:val="berschrift2"/>
    <w:uiPriority w:val="99"/>
    <w:semiHidden/>
    <w:locked/>
    <w:rsid w:val="008B4504"/>
    <w:rPr>
      <w:rFonts w:ascii="Cambria" w:hAnsi="Cambria" w:cs="Times New Roman"/>
      <w:b/>
      <w:bCs/>
      <w:i/>
      <w:iCs/>
      <w:sz w:val="28"/>
      <w:szCs w:val="28"/>
    </w:rPr>
  </w:style>
  <w:style w:type="paragraph" w:styleId="Textkrper">
    <w:name w:val="Body Text"/>
    <w:basedOn w:val="Standard"/>
    <w:link w:val="TextkrperZchn"/>
    <w:uiPriority w:val="99"/>
    <w:rsid w:val="004E1D02"/>
    <w:pPr>
      <w:spacing w:line="480" w:lineRule="auto"/>
      <w:jc w:val="both"/>
    </w:pPr>
    <w:rPr>
      <w:szCs w:val="20"/>
    </w:rPr>
  </w:style>
  <w:style w:type="character" w:customStyle="1" w:styleId="TextkrperZchn">
    <w:name w:val="Textkörper Zchn"/>
    <w:basedOn w:val="Absatz-Standardschriftart"/>
    <w:link w:val="Textkrper"/>
    <w:uiPriority w:val="99"/>
    <w:semiHidden/>
    <w:locked/>
    <w:rsid w:val="008B4504"/>
    <w:rPr>
      <w:rFonts w:cs="Times New Roman"/>
      <w:sz w:val="24"/>
      <w:szCs w:val="24"/>
    </w:rPr>
  </w:style>
  <w:style w:type="paragraph" w:styleId="StandardWeb">
    <w:name w:val="Normal (Web)"/>
    <w:basedOn w:val="Standard"/>
    <w:uiPriority w:val="99"/>
    <w:rsid w:val="004E1D02"/>
    <w:pPr>
      <w:spacing w:before="100" w:beforeAutospacing="1" w:after="100" w:afterAutospacing="1"/>
    </w:pPr>
    <w:rPr>
      <w:color w:val="000000"/>
    </w:rPr>
  </w:style>
  <w:style w:type="character" w:styleId="Hyperlink">
    <w:name w:val="Hyperlink"/>
    <w:basedOn w:val="Absatz-Standardschriftart"/>
    <w:uiPriority w:val="99"/>
    <w:rsid w:val="004E1D02"/>
    <w:rPr>
      <w:rFonts w:cs="Times New Roman"/>
      <w:color w:val="0000FF"/>
      <w:u w:val="single"/>
    </w:rPr>
  </w:style>
  <w:style w:type="paragraph" w:styleId="Textkrper2">
    <w:name w:val="Body Text 2"/>
    <w:basedOn w:val="Standard"/>
    <w:link w:val="Textkrper2Zchn"/>
    <w:uiPriority w:val="99"/>
    <w:rsid w:val="004E1D02"/>
    <w:rPr>
      <w:rFonts w:ascii="Arial" w:hAnsi="Arial" w:cs="Arial"/>
      <w:b/>
      <w:bCs/>
      <w:sz w:val="22"/>
    </w:rPr>
  </w:style>
  <w:style w:type="character" w:customStyle="1" w:styleId="Textkrper2Zchn">
    <w:name w:val="Textkörper 2 Zchn"/>
    <w:basedOn w:val="Absatz-Standardschriftart"/>
    <w:link w:val="Textkrper2"/>
    <w:uiPriority w:val="99"/>
    <w:semiHidden/>
    <w:locked/>
    <w:rsid w:val="008B4504"/>
    <w:rPr>
      <w:rFonts w:cs="Times New Roman"/>
      <w:sz w:val="24"/>
      <w:szCs w:val="24"/>
    </w:rPr>
  </w:style>
  <w:style w:type="paragraph" w:customStyle="1" w:styleId="affiliation">
    <w:name w:val="affiliation"/>
    <w:basedOn w:val="Standard"/>
    <w:uiPriority w:val="99"/>
    <w:rsid w:val="004E1D02"/>
    <w:rPr>
      <w:color w:val="000000"/>
    </w:rPr>
  </w:style>
  <w:style w:type="character" w:customStyle="1" w:styleId="ti2">
    <w:name w:val="ti2"/>
    <w:basedOn w:val="Absatz-Standardschriftart"/>
    <w:uiPriority w:val="99"/>
    <w:rsid w:val="004E1D02"/>
    <w:rPr>
      <w:rFonts w:cs="Times New Roman"/>
    </w:rPr>
  </w:style>
  <w:style w:type="character" w:customStyle="1" w:styleId="featuredlinkouts">
    <w:name w:val="featured_linkouts"/>
    <w:basedOn w:val="Absatz-Standardschriftart"/>
    <w:uiPriority w:val="99"/>
    <w:rsid w:val="004E1D02"/>
    <w:rPr>
      <w:rFonts w:cs="Times New Roman"/>
    </w:rPr>
  </w:style>
  <w:style w:type="character" w:customStyle="1" w:styleId="linkbar">
    <w:name w:val="linkbar"/>
    <w:basedOn w:val="Absatz-Standardschriftart"/>
    <w:uiPriority w:val="99"/>
    <w:rsid w:val="004E1D02"/>
    <w:rPr>
      <w:rFonts w:cs="Times New Roman"/>
    </w:rPr>
  </w:style>
  <w:style w:type="character" w:styleId="BesuchterLink">
    <w:name w:val="FollowedHyperlink"/>
    <w:basedOn w:val="Absatz-Standardschriftart"/>
    <w:uiPriority w:val="99"/>
    <w:rsid w:val="004E1D02"/>
    <w:rPr>
      <w:rFonts w:cs="Times New Roman"/>
      <w:color w:val="800080"/>
      <w:u w:val="single"/>
    </w:rPr>
  </w:style>
  <w:style w:type="paragraph" w:styleId="Sprechblasentext">
    <w:name w:val="Balloon Text"/>
    <w:basedOn w:val="Standard"/>
    <w:link w:val="SprechblasentextZchn"/>
    <w:uiPriority w:val="99"/>
    <w:semiHidden/>
    <w:rsid w:val="004E1D0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B4504"/>
    <w:rPr>
      <w:rFonts w:cs="Times New Roman"/>
      <w:sz w:val="2"/>
    </w:rPr>
  </w:style>
  <w:style w:type="paragraph" w:styleId="Titel">
    <w:name w:val="Title"/>
    <w:basedOn w:val="Standard"/>
    <w:next w:val="Standard"/>
    <w:link w:val="TitelZchn"/>
    <w:uiPriority w:val="99"/>
    <w:qFormat/>
    <w:rsid w:val="005638EB"/>
    <w:pPr>
      <w:pBdr>
        <w:bottom w:val="single" w:sz="8" w:space="4" w:color="2DA2BF"/>
      </w:pBdr>
      <w:spacing w:after="300"/>
      <w:contextualSpacing/>
    </w:pPr>
    <w:rPr>
      <w:rFonts w:ascii="Lucida Sans Unicode" w:hAnsi="Lucida Sans Unicode"/>
      <w:color w:val="343434"/>
      <w:spacing w:val="5"/>
      <w:kern w:val="28"/>
      <w:sz w:val="52"/>
      <w:szCs w:val="52"/>
    </w:rPr>
  </w:style>
  <w:style w:type="character" w:customStyle="1" w:styleId="TitelZchn">
    <w:name w:val="Titel Zchn"/>
    <w:basedOn w:val="Absatz-Standardschriftart"/>
    <w:link w:val="Titel"/>
    <w:uiPriority w:val="99"/>
    <w:locked/>
    <w:rsid w:val="005638EB"/>
    <w:rPr>
      <w:rFonts w:ascii="Lucida Sans Unicode" w:hAnsi="Lucida Sans Unicode" w:cs="Times New Roman"/>
      <w:color w:val="343434"/>
      <w:spacing w:val="5"/>
      <w:kern w:val="28"/>
      <w:sz w:val="52"/>
      <w:szCs w:val="52"/>
    </w:rPr>
  </w:style>
  <w:style w:type="paragraph" w:styleId="Kopfzeile">
    <w:name w:val="header"/>
    <w:basedOn w:val="Standard"/>
    <w:link w:val="KopfzeileZchn"/>
    <w:uiPriority w:val="99"/>
    <w:rsid w:val="004E1D02"/>
    <w:pPr>
      <w:tabs>
        <w:tab w:val="center" w:pos="4536"/>
        <w:tab w:val="right" w:pos="9072"/>
      </w:tabs>
    </w:pPr>
  </w:style>
  <w:style w:type="character" w:customStyle="1" w:styleId="KopfzeileZchn">
    <w:name w:val="Kopfzeile Zchn"/>
    <w:basedOn w:val="Absatz-Standardschriftart"/>
    <w:link w:val="Kopfzeile"/>
    <w:uiPriority w:val="99"/>
    <w:semiHidden/>
    <w:locked/>
    <w:rsid w:val="008B4504"/>
    <w:rPr>
      <w:rFonts w:cs="Times New Roman"/>
      <w:sz w:val="24"/>
      <w:szCs w:val="24"/>
    </w:rPr>
  </w:style>
  <w:style w:type="paragraph" w:styleId="Fuzeile">
    <w:name w:val="footer"/>
    <w:basedOn w:val="Standard"/>
    <w:link w:val="FuzeileZchn"/>
    <w:uiPriority w:val="99"/>
    <w:rsid w:val="004E1D02"/>
    <w:pPr>
      <w:tabs>
        <w:tab w:val="center" w:pos="4536"/>
        <w:tab w:val="right" w:pos="9072"/>
      </w:tabs>
    </w:pPr>
  </w:style>
  <w:style w:type="character" w:customStyle="1" w:styleId="FuzeileZchn">
    <w:name w:val="Fußzeile Zchn"/>
    <w:basedOn w:val="Absatz-Standardschriftart"/>
    <w:link w:val="Fuzeile"/>
    <w:uiPriority w:val="99"/>
    <w:locked/>
    <w:rsid w:val="008B4504"/>
    <w:rPr>
      <w:rFonts w:cs="Times New Roman"/>
      <w:sz w:val="24"/>
      <w:szCs w:val="24"/>
    </w:rPr>
  </w:style>
  <w:style w:type="paragraph" w:styleId="berarbeitung">
    <w:name w:val="Revision"/>
    <w:hidden/>
    <w:uiPriority w:val="99"/>
    <w:semiHidden/>
    <w:rsid w:val="00E53F75"/>
    <w:rPr>
      <w:sz w:val="24"/>
      <w:szCs w:val="24"/>
    </w:rPr>
  </w:style>
  <w:style w:type="paragraph" w:styleId="Listenabsatz">
    <w:name w:val="List Paragraph"/>
    <w:basedOn w:val="Standard"/>
    <w:uiPriority w:val="34"/>
    <w:qFormat/>
    <w:rsid w:val="00435583"/>
    <w:pPr>
      <w:ind w:left="720"/>
      <w:contextualSpacing/>
    </w:pPr>
  </w:style>
  <w:style w:type="character" w:customStyle="1" w:styleId="CommentReference">
    <w:name w:val="Comment Reference"/>
    <w:basedOn w:val="Absatz-Standardschriftart"/>
    <w:uiPriority w:val="99"/>
    <w:semiHidden/>
    <w:unhideWhenUsed/>
    <w:rsid w:val="003D1355"/>
    <w:rPr>
      <w:sz w:val="16"/>
      <w:szCs w:val="16"/>
    </w:rPr>
  </w:style>
  <w:style w:type="paragraph" w:customStyle="1" w:styleId="CommentText">
    <w:name w:val="Comment Text"/>
    <w:basedOn w:val="Standard"/>
    <w:link w:val="CommentTextChar"/>
    <w:uiPriority w:val="99"/>
    <w:unhideWhenUsed/>
    <w:rPr>
      <w:sz w:val="20"/>
      <w:szCs w:val="20"/>
    </w:rPr>
  </w:style>
  <w:style w:type="character" w:customStyle="1" w:styleId="CommentTextChar">
    <w:name w:val="Comment Text Char"/>
    <w:basedOn w:val="Absatz-Standardschriftart"/>
    <w:link w:val="CommentText"/>
    <w:uiPriority w:val="99"/>
    <w:rsid w:val="003D1355"/>
    <w:rPr>
      <w:sz w:val="20"/>
      <w:szCs w:val="20"/>
    </w:rPr>
  </w:style>
  <w:style w:type="paragraph" w:customStyle="1" w:styleId="CommentSubject">
    <w:name w:val="Comment Subject"/>
    <w:basedOn w:val="CommentText"/>
    <w:next w:val="CommentText"/>
    <w:link w:val="CommentSubjectChar"/>
    <w:uiPriority w:val="99"/>
    <w:semiHidden/>
    <w:unhideWhenUsed/>
    <w:rsid w:val="001879A2"/>
    <w:rPr>
      <w:b/>
      <w:bCs/>
    </w:rPr>
  </w:style>
  <w:style w:type="character" w:customStyle="1" w:styleId="CommentSubjectChar">
    <w:name w:val="Comment Subject Char"/>
    <w:basedOn w:val="CommentTextChar"/>
    <w:link w:val="CommentSubject"/>
    <w:uiPriority w:val="99"/>
    <w:semiHidden/>
    <w:rsid w:val="001879A2"/>
    <w:rPr>
      <w:b/>
      <w:bCs/>
      <w:sz w:val="20"/>
      <w:szCs w:val="20"/>
    </w:rPr>
  </w:style>
  <w:style w:type="character" w:styleId="Erwhnung">
    <w:name w:val="Mention"/>
    <w:basedOn w:val="Absatz-Standardschriftart"/>
    <w:uiPriority w:val="99"/>
    <w:unhideWhenUsed/>
    <w:rsid w:val="00D814DF"/>
    <w:rPr>
      <w:color w:val="2B579A"/>
      <w:shd w:val="clear" w:color="auto" w:fill="E1DFDD"/>
    </w:rPr>
  </w:style>
  <w:style w:type="character" w:customStyle="1" w:styleId="CommentTextChar1">
    <w:name w:val="Comment Text Char1"/>
    <w:basedOn w:val="Absatz-Standardschriftart"/>
    <w:uiPriority w:val="99"/>
    <w:rsid w:val="00DC2EC1"/>
    <w:rPr>
      <w:sz w:val="20"/>
      <w:szCs w:val="20"/>
    </w:rPr>
  </w:style>
  <w:style w:type="character" w:customStyle="1" w:styleId="CommentSubjectChar1">
    <w:name w:val="Comment Subject Char1"/>
    <w:basedOn w:val="CommentTextChar1"/>
    <w:uiPriority w:val="99"/>
    <w:semiHidden/>
    <w:rsid w:val="00DC2EC1"/>
    <w:rPr>
      <w:b/>
      <w:bCs/>
      <w:sz w:val="20"/>
      <w:szCs w:val="20"/>
    </w:rPr>
  </w:style>
  <w:style w:type="character" w:customStyle="1" w:styleId="CommentReference1">
    <w:name w:val="Comment Reference1"/>
    <w:basedOn w:val="Absatz-Standardschriftart"/>
    <w:uiPriority w:val="99"/>
    <w:semiHidden/>
    <w:unhideWhenUsed/>
    <w:rsid w:val="008F19BE"/>
    <w:rPr>
      <w:sz w:val="16"/>
      <w:szCs w:val="16"/>
    </w:rPr>
  </w:style>
  <w:style w:type="paragraph" w:customStyle="1" w:styleId="CommentText1">
    <w:name w:val="Comment Text1"/>
    <w:basedOn w:val="Standard"/>
    <w:uiPriority w:val="99"/>
    <w:unhideWhenUsed/>
    <w:rsid w:val="008F19BE"/>
    <w:rPr>
      <w:sz w:val="20"/>
      <w:szCs w:val="20"/>
    </w:rPr>
  </w:style>
  <w:style w:type="paragraph" w:customStyle="1" w:styleId="CommentSubject1">
    <w:name w:val="Comment Subject1"/>
    <w:basedOn w:val="CommentText1"/>
    <w:next w:val="CommentText1"/>
    <w:uiPriority w:val="99"/>
    <w:semiHidden/>
    <w:unhideWhenUsed/>
    <w:rsid w:val="008F19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8C1BF75-1ACE-4BBB-9397-44F455693045}">
  <we:reference id="WA200010453" version="1.0.0.1" store="Omex" storeType="OMEX"/>
  <we:alternateReferences>
    <we:reference id="WA200010453" version="1.0.0.1" store="WA200010453" storeType="OMEX"/>
  </we:alternateReferences>
  <we:properties>
    <we:property name="claude.fileId" value="&quot;fb0ba93f-8e62-4109-a089-0655cb6db46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4E8A8321EAC77429F0AE51B49A58B02" ma:contentTypeVersion="13" ma:contentTypeDescription="Ein neues Dokument erstellen." ma:contentTypeScope="" ma:versionID="aca26b8dd595946ccb349cbecf50100e">
  <xsd:schema xmlns:xsd="http://www.w3.org/2001/XMLSchema" xmlns:xs="http://www.w3.org/2001/XMLSchema" xmlns:p="http://schemas.microsoft.com/office/2006/metadata/properties" xmlns:ns2="2d076682-27a3-4304-b527-b918986f088e" xmlns:ns3="fe9ae99a-0496-4898-989f-e27614239e60" targetNamespace="http://schemas.microsoft.com/office/2006/metadata/properties" ma:root="true" ma:fieldsID="a7b013a03dda08a9ebf2cfc056a8426e" ns2:_="" ns3:_="">
    <xsd:import namespace="2d076682-27a3-4304-b527-b918986f088e"/>
    <xsd:import namespace="fe9ae99a-0496-4898-989f-e27614239e6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76682-27a3-4304-b527-b918986f0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6cf23042-53e8-4101-8b41-0a7ba41cbd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9ae99a-0496-4898-989f-e27614239e60"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2c65a8e2-f275-44e0-b582-92c6550fc014}" ma:internalName="TaxCatchAll" ma:showField="CatchAllData" ma:web="fe9ae99a-0496-4898-989f-e27614239e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fe9ae99a-0496-4898-989f-e27614239e60">
      <UserInfo>
        <DisplayName/>
        <AccountId xsi:nil="true"/>
        <AccountType/>
      </UserInfo>
    </SharedWithUsers>
    <TaxCatchAll xmlns="fe9ae99a-0496-4898-989f-e27614239e60" xsi:nil="true"/>
    <lcf76f155ced4ddcb4097134ff3c332f xmlns="2d076682-27a3-4304-b527-b918986f088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3C3C5-D13B-4135-B3CD-A7B23D574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76682-27a3-4304-b527-b918986f088e"/>
    <ds:schemaRef ds:uri="fe9ae99a-0496-4898-989f-e27614239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DF3E8-E1F3-4E2C-88AF-CC23C725C8BD}">
  <ds:schemaRefs>
    <ds:schemaRef ds:uri="http://schemas.microsoft.com/office/2006/metadata/properties"/>
    <ds:schemaRef ds:uri="http://schemas.microsoft.com/office/infopath/2007/PartnerControls"/>
    <ds:schemaRef ds:uri="fe9ae99a-0496-4898-989f-e27614239e60"/>
    <ds:schemaRef ds:uri="2d076682-27a3-4304-b527-b918986f088e"/>
  </ds:schemaRefs>
</ds:datastoreItem>
</file>

<file path=customXml/itemProps3.xml><?xml version="1.0" encoding="utf-8"?>
<ds:datastoreItem xmlns:ds="http://schemas.openxmlformats.org/officeDocument/2006/customXml" ds:itemID="{C5750004-9B09-46F0-A341-C72664138E91}">
  <ds:schemaRefs>
    <ds:schemaRef ds:uri="http://schemas.microsoft.com/sharepoint/v3/contenttype/forms"/>
  </ds:schemaRefs>
</ds:datastoreItem>
</file>

<file path=customXml/itemProps4.xml><?xml version="1.0" encoding="utf-8"?>
<ds:datastoreItem xmlns:ds="http://schemas.openxmlformats.org/officeDocument/2006/customXml" ds:itemID="{BAFFB086-081D-4B20-A05D-D11FE8431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9982</Characters>
  <Application>Microsoft Office Word</Application>
  <DocSecurity>0</DocSecurity>
  <Lines>83</Lines>
  <Paragraphs>23</Paragraphs>
  <ScaleCrop>false</ScaleCrop>
  <Company>Klinikum der Universitaet Muenchen</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Massenkeil</dc:creator>
  <cp:keywords/>
  <cp:lastModifiedBy>Caroline Rupprecht</cp:lastModifiedBy>
  <cp:revision>4</cp:revision>
  <cp:lastPrinted>2012-10-09T15:17:00Z</cp:lastPrinted>
  <dcterms:created xsi:type="dcterms:W3CDTF">2026-10-07T11:36:00Z</dcterms:created>
  <dcterms:modified xsi:type="dcterms:W3CDTF">2026-10-07T12:07:00Z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0x01010054E8A8321EAC77429F0AE51B49A58B02</vt:lpwstr>
  </property>
  <property fmtid="{D5CDD505-2E9C-101B-9397-08002B2CF9AE}" pid="3" name="Order">
    <vt:r8>60600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y fmtid="{D5CDD505-2E9C-101B-9397-08002B2CF9AE}" pid="11" name="docLang">
    <vt:lpwstr>de</vt:lpwstr>
  </property>
</Properties>
</file>