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42848E" w14:textId="77777777">
        <w:tc>
          <w:tcPr>
            <w:tcW w:w="9212" w:type="dxa"/>
          </w:tcPr>
          <w:p w14:paraId="3856C14D" w14:textId="77777777" w:rsidR="008E6675" w:rsidRPr="005638EB" w:rsidRDefault="008E6675" w:rsidP="002005AF">
            <w:pPr>
              <w:rPr>
                <w:rFonts w:ascii="Arial Narrow" w:hAnsi="Arial Narrow"/>
                <w:b/>
              </w:rPr>
            </w:pPr>
            <w:r w:rsidRPr="005638EB">
              <w:rPr>
                <w:rFonts w:ascii="Arial Narrow" w:hAnsi="Arial Narrow"/>
                <w:b/>
                <w:sz w:val="22"/>
              </w:rPr>
              <w:t xml:space="preserve">Haben Sie externe Hilfestellungen </w:t>
            </w:r>
            <w:r w:rsidR="002333FF">
              <w:rPr>
                <w:rFonts w:ascii="Arial Narrow" w:hAnsi="Arial Narrow"/>
                <w:b/>
                <w:sz w:val="22"/>
              </w:rPr>
              <w:t xml:space="preserve">zum Ausfüllen der Formblätter </w:t>
            </w:r>
            <w:r w:rsidRPr="005638EB">
              <w:rPr>
                <w:rFonts w:ascii="Arial Narrow" w:hAnsi="Arial Narrow"/>
                <w:b/>
                <w:sz w:val="22"/>
              </w:rPr>
              <w:t>in Anspruch genommen</w:t>
            </w:r>
            <w:r w:rsidR="002005AF">
              <w:rPr>
                <w:rFonts w:ascii="Arial Narrow" w:hAnsi="Arial Narrow"/>
                <w:b/>
                <w:sz w:val="22"/>
              </w:rPr>
              <w:t>?</w:t>
            </w:r>
            <w:r w:rsidRPr="005638EB">
              <w:rPr>
                <w:rFonts w:ascii="Arial Narrow" w:hAnsi="Arial Narrow"/>
                <w:b/>
                <w:sz w:val="22"/>
              </w:rPr>
              <w:t xml:space="preserve">  Wenn ja, bitte geben Sie an, welche Hilfestellung</w:t>
            </w:r>
            <w:r w:rsidR="002005AF">
              <w:rPr>
                <w:rFonts w:ascii="Arial Narrow" w:hAnsi="Arial Narrow"/>
                <w:b/>
                <w:sz w:val="22"/>
              </w:rPr>
              <w:t xml:space="preserve"> Sie in Anspruch genommen haben</w:t>
            </w:r>
            <w:r w:rsidRPr="005638EB">
              <w:rPr>
                <w:rFonts w:ascii="Arial Narrow" w:hAnsi="Arial Narrow"/>
                <w:b/>
                <w:sz w:val="22"/>
              </w:rPr>
              <w:t>?</w:t>
            </w:r>
          </w:p>
        </w:tc>
      </w:tr>
      <w:tr w:rsidR="008E6675" w:rsidRPr="005638EB" w14:paraId="2315EEB9" w14:textId="77777777">
        <w:tc>
          <w:tcPr>
            <w:tcW w:w="9212" w:type="dxa"/>
          </w:tcPr>
          <w:p w14:paraId="59E436C4" w14:textId="6D667C42" w:rsidR="008E6675" w:rsidRPr="005638EB" w:rsidRDefault="002260BA" w:rsidP="005638EB">
            <w:pPr>
              <w:rPr>
                <w:rFonts w:ascii="Arial Narrow" w:hAnsi="Arial Narrow"/>
              </w:rPr>
            </w:pPr>
            <w:r w:rsidRPr="000B5149">
              <w:rPr>
                <w:rFonts w:ascii="Arial Narrow" w:hAnsi="Arial Narrow"/>
                <w:sz w:val="22"/>
              </w:rPr>
              <w:t>Diese</w:t>
            </w:r>
            <w:r>
              <w:rPr>
                <w:rFonts w:ascii="Arial Narrow" w:hAnsi="Arial Narrow"/>
                <w:sz w:val="22"/>
              </w:rPr>
              <w:t>s Formular enthält Formulierungsvorschläge der AstraZeneca GmbH.</w:t>
            </w:r>
          </w:p>
        </w:tc>
      </w:tr>
    </w:tbl>
    <w:p w14:paraId="1B73E9CE" w14:textId="77777777" w:rsidR="008E6675" w:rsidRPr="005638EB" w:rsidRDefault="008E6675" w:rsidP="005638EB">
      <w:pPr>
        <w:rPr>
          <w:rFonts w:ascii="Arial Narrow" w:hAnsi="Arial Narrow"/>
        </w:rPr>
      </w:pPr>
    </w:p>
    <w:tbl>
      <w:tblPr>
        <w:tblStyle w:val="TableNormal1"/>
        <w:tblW w:w="92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9DF06E3" w14:textId="77777777" w:rsidTr="32662DD2">
        <w:tc>
          <w:tcPr>
            <w:tcW w:w="9212" w:type="dxa"/>
          </w:tcPr>
          <w:p w14:paraId="48DD38F6" w14:textId="62BF7CF8" w:rsidR="008E6675" w:rsidRPr="005638EB" w:rsidRDefault="008E6675" w:rsidP="005638EB">
            <w:pPr>
              <w:rPr>
                <w:rFonts w:ascii="Arial Narrow" w:hAnsi="Arial Narrow"/>
                <w:b/>
              </w:rPr>
            </w:pPr>
            <w:r w:rsidRPr="005638EB">
              <w:rPr>
                <w:rFonts w:ascii="Arial Narrow" w:hAnsi="Arial Narrow"/>
                <w:b/>
                <w:sz w:val="22"/>
              </w:rPr>
              <w:t>Angefragte Untersuchungs- und Beh</w:t>
            </w:r>
            <w:r w:rsidR="002333FF">
              <w:rPr>
                <w:rFonts w:ascii="Arial Narrow" w:hAnsi="Arial Narrow"/>
                <w:b/>
                <w:sz w:val="22"/>
              </w:rPr>
              <w:t>andlungsmethode</w:t>
            </w:r>
          </w:p>
        </w:tc>
      </w:tr>
      <w:tr w:rsidR="000B5149" w:rsidRPr="007F255B" w14:paraId="3534B4A0" w14:textId="77777777" w:rsidTr="32662DD2">
        <w:tc>
          <w:tcPr>
            <w:tcW w:w="9212" w:type="dxa"/>
          </w:tcPr>
          <w:p w14:paraId="2C182448" w14:textId="59C0C9A1" w:rsidR="000B5149" w:rsidRPr="00394E09" w:rsidRDefault="54181405" w:rsidP="32662DD2">
            <w:pPr>
              <w:rPr>
                <w:rFonts w:ascii="Arial Narrow" w:hAnsi="Arial Narrow"/>
                <w:sz w:val="22"/>
                <w:szCs w:val="22"/>
              </w:rPr>
            </w:pPr>
            <w:r w:rsidRPr="32662DD2">
              <w:rPr>
                <w:rFonts w:ascii="Arial Narrow" w:hAnsi="Arial Narrow"/>
                <w:sz w:val="22"/>
                <w:szCs w:val="22"/>
              </w:rPr>
              <w:t>Serielle ESR1-Testung</w:t>
            </w:r>
            <w:r w:rsidR="72521B69" w:rsidRPr="32662DD2">
              <w:rPr>
                <w:rFonts w:ascii="Arial Narrow" w:hAnsi="Arial Narrow"/>
                <w:sz w:val="22"/>
                <w:szCs w:val="22"/>
              </w:rPr>
              <w:t xml:space="preserve"> beim fortgeschrittenen </w:t>
            </w:r>
            <w:r w:rsidR="00FA15C4" w:rsidRPr="00FA15C4">
              <w:rPr>
                <w:rFonts w:ascii="Arial Narrow" w:hAnsi="Arial Narrow"/>
                <w:sz w:val="22"/>
                <w:szCs w:val="22"/>
              </w:rPr>
              <w:t>ER</w:t>
            </w:r>
            <w:r w:rsidR="72521B69" w:rsidRPr="32662DD2">
              <w:rPr>
                <w:rFonts w:ascii="Arial Narrow" w:hAnsi="Arial Narrow"/>
                <w:sz w:val="22"/>
                <w:szCs w:val="22"/>
              </w:rPr>
              <w:t>-positiven</w:t>
            </w:r>
            <w:r w:rsidR="00FA15C4" w:rsidRPr="00FA15C4">
              <w:rPr>
                <w:rFonts w:ascii="Arial Narrow" w:hAnsi="Arial Narrow"/>
                <w:sz w:val="22"/>
                <w:szCs w:val="22"/>
              </w:rPr>
              <w:t>, HER2-negativen Mammakarzinom</w:t>
            </w:r>
          </w:p>
        </w:tc>
      </w:tr>
    </w:tbl>
    <w:p w14:paraId="42022921" w14:textId="77777777" w:rsidR="008E6675" w:rsidRPr="005638EB" w:rsidRDefault="008E6675" w:rsidP="005638EB">
      <w:pPr>
        <w:rPr>
          <w:rFonts w:ascii="Arial Narrow" w:hAnsi="Arial Narrow"/>
          <w:b/>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6B6F275" w14:textId="77777777">
        <w:tc>
          <w:tcPr>
            <w:tcW w:w="9212" w:type="dxa"/>
          </w:tcPr>
          <w:p w14:paraId="67F0AA02" w14:textId="4EF70D85" w:rsidR="008E6675" w:rsidRPr="005638EB" w:rsidRDefault="008E6675" w:rsidP="00596F9A">
            <w:pPr>
              <w:tabs>
                <w:tab w:val="left" w:pos="7465"/>
              </w:tabs>
              <w:rPr>
                <w:rFonts w:ascii="Arial Narrow" w:hAnsi="Arial Narrow"/>
                <w:b/>
              </w:rPr>
            </w:pPr>
            <w:r w:rsidRPr="005638EB">
              <w:rPr>
                <w:rFonts w:ascii="Arial Narrow" w:hAnsi="Arial Narrow"/>
                <w:b/>
                <w:sz w:val="22"/>
              </w:rPr>
              <w:t>Alternative Bezeichnung(en) der Methode</w:t>
            </w:r>
            <w:r>
              <w:rPr>
                <w:rFonts w:ascii="Arial Narrow" w:hAnsi="Arial Narrow"/>
                <w:b/>
                <w:sz w:val="22"/>
              </w:rPr>
              <w:tab/>
            </w:r>
          </w:p>
        </w:tc>
      </w:tr>
      <w:tr w:rsidR="008E6675" w:rsidRPr="005638EB" w14:paraId="6AA1CD49" w14:textId="77777777">
        <w:tc>
          <w:tcPr>
            <w:tcW w:w="9212" w:type="dxa"/>
          </w:tcPr>
          <w:p w14:paraId="03804348" w14:textId="299D3CC9" w:rsidR="008E6675" w:rsidRPr="005638EB" w:rsidRDefault="00253C3C" w:rsidP="003F4E40">
            <w:pPr>
              <w:rPr>
                <w:rFonts w:ascii="Arial Narrow" w:hAnsi="Arial Narrow"/>
              </w:rPr>
            </w:pPr>
            <w:r w:rsidRPr="00253C3C">
              <w:rPr>
                <w:rFonts w:ascii="Arial Narrow" w:hAnsi="Arial Narrow"/>
                <w:sz w:val="22"/>
              </w:rPr>
              <w:t>Serielle (longitudinale) Bestimmung von ESR1-Mutationen aus zirkulierender Tumor-DNA (</w:t>
            </w:r>
            <w:proofErr w:type="spellStart"/>
            <w:r w:rsidRPr="00253C3C">
              <w:rPr>
                <w:rFonts w:ascii="Arial Narrow" w:hAnsi="Arial Narrow"/>
                <w:sz w:val="22"/>
              </w:rPr>
              <w:t>ctDNA</w:t>
            </w:r>
            <w:proofErr w:type="spellEnd"/>
            <w:r w:rsidRPr="00253C3C">
              <w:rPr>
                <w:rFonts w:ascii="Arial Narrow" w:hAnsi="Arial Narrow"/>
                <w:sz w:val="22"/>
              </w:rPr>
              <w:t xml:space="preserve">, </w:t>
            </w:r>
            <w:proofErr w:type="spellStart"/>
            <w:r w:rsidRPr="00253C3C">
              <w:rPr>
                <w:rFonts w:ascii="Arial Narrow" w:hAnsi="Arial Narrow"/>
                <w:sz w:val="22"/>
              </w:rPr>
              <w:t>Flüssigbiopsat</w:t>
            </w:r>
            <w:proofErr w:type="spellEnd"/>
            <w:r w:rsidRPr="00253C3C">
              <w:rPr>
                <w:rFonts w:ascii="Arial Narrow" w:hAnsi="Arial Narrow"/>
                <w:sz w:val="22"/>
              </w:rPr>
              <w:t>) bei erwachsenen Patient:innen mit Östrogenrezeptor(ER)-positivem, HER2-negativem, lokal fortgeschrittenem oder metastasiertem Mammakarzinom unter laufender endokriner Therapie zur Erkennung einer erworbenen endokrinen Resistenz.</w:t>
            </w:r>
          </w:p>
        </w:tc>
      </w:tr>
    </w:tbl>
    <w:p w14:paraId="5C4D6932" w14:textId="77777777" w:rsidR="004C4F82" w:rsidRDefault="004C4F82"/>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C4F82" w:rsidRPr="004C4F82" w14:paraId="6FC43EE4" w14:textId="77777777" w:rsidTr="004C4F82">
        <w:tc>
          <w:tcPr>
            <w:tcW w:w="9212" w:type="dxa"/>
            <w:tcBorders>
              <w:top w:val="single" w:sz="4" w:space="0" w:color="auto"/>
              <w:left w:val="single" w:sz="4" w:space="0" w:color="auto"/>
              <w:bottom w:val="single" w:sz="4" w:space="0" w:color="auto"/>
              <w:right w:val="single" w:sz="4" w:space="0" w:color="auto"/>
            </w:tcBorders>
          </w:tcPr>
          <w:p w14:paraId="20C990C9" w14:textId="48FE42C0" w:rsidR="004C4F82" w:rsidRPr="004C4F82" w:rsidRDefault="004C4F82" w:rsidP="004C4F82">
            <w:pPr>
              <w:tabs>
                <w:tab w:val="left" w:pos="7465"/>
              </w:tabs>
              <w:rPr>
                <w:rFonts w:ascii="Arial Narrow" w:hAnsi="Arial Narrow"/>
                <w:b/>
                <w:sz w:val="22"/>
              </w:rPr>
            </w:pPr>
            <w:r w:rsidRPr="004C4F82">
              <w:rPr>
                <w:rFonts w:ascii="Arial Narrow" w:hAnsi="Arial Narrow"/>
                <w:b/>
                <w:sz w:val="22"/>
              </w:rPr>
              <w:t>Beruht die neue Untersuchungs- und Behandlungsmethode vollständig oder in Teilen auf dem Ei</w:t>
            </w:r>
            <w:r>
              <w:rPr>
                <w:rFonts w:ascii="Arial Narrow" w:hAnsi="Arial Narrow"/>
                <w:b/>
                <w:sz w:val="22"/>
              </w:rPr>
              <w:t>nsatz eines Medizinproduktes?</w:t>
            </w:r>
            <w:r w:rsidRPr="004C4F82">
              <w:rPr>
                <w:rFonts w:ascii="Arial Narrow" w:hAnsi="Arial Narrow"/>
                <w:b/>
                <w:sz w:val="22"/>
              </w:rPr>
              <w:tab/>
            </w:r>
          </w:p>
        </w:tc>
      </w:tr>
      <w:tr w:rsidR="004C4F82" w:rsidRPr="005638EB" w14:paraId="049FBCCE" w14:textId="77777777" w:rsidTr="004C4F82">
        <w:tc>
          <w:tcPr>
            <w:tcW w:w="9212" w:type="dxa"/>
            <w:tcBorders>
              <w:top w:val="single" w:sz="4" w:space="0" w:color="auto"/>
              <w:left w:val="single" w:sz="4" w:space="0" w:color="auto"/>
              <w:bottom w:val="single" w:sz="4" w:space="0" w:color="auto"/>
              <w:right w:val="single" w:sz="4" w:space="0" w:color="auto"/>
            </w:tcBorders>
          </w:tcPr>
          <w:p w14:paraId="5E4B2A39" w14:textId="1B184F39" w:rsidR="004C4F82" w:rsidRPr="003F4E40" w:rsidRDefault="008B7669" w:rsidP="008B7669">
            <w:pPr>
              <w:rPr>
                <w:rFonts w:ascii="Arial Narrow" w:hAnsi="Arial Narrow"/>
                <w:sz w:val="22"/>
              </w:rPr>
            </w:pPr>
            <w:r w:rsidRPr="008B7669">
              <w:rPr>
                <w:rFonts w:ascii="Arial Narrow" w:hAnsi="Arial Narrow"/>
                <w:sz w:val="22"/>
              </w:rPr>
              <w:t>[</w:t>
            </w:r>
            <w:r w:rsidRPr="0036178C">
              <w:rPr>
                <w:rFonts w:ascii="Arial Narrow" w:hAnsi="Arial Narrow"/>
                <w:sz w:val="22"/>
                <w:highlight w:val="yellow"/>
              </w:rPr>
              <w:t>nein ankreuzen</w:t>
            </w:r>
            <w:r w:rsidRPr="008B7669">
              <w:rPr>
                <w:rFonts w:ascii="Arial Narrow" w:hAnsi="Arial Narrow"/>
                <w:sz w:val="22"/>
              </w:rPr>
              <w:t>]</w:t>
            </w:r>
          </w:p>
        </w:tc>
      </w:tr>
    </w:tbl>
    <w:p w14:paraId="7F1AD41E" w14:textId="77777777" w:rsidR="008E6675"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92AB4" w:rsidRPr="005638EB" w14:paraId="5055E8B5" w14:textId="77777777" w:rsidTr="0036178C">
        <w:tc>
          <w:tcPr>
            <w:tcW w:w="9212" w:type="dxa"/>
          </w:tcPr>
          <w:p w14:paraId="43488653" w14:textId="436833FA" w:rsidR="00492AB4" w:rsidRPr="005638EB" w:rsidRDefault="00492AB4" w:rsidP="006354B6">
            <w:pPr>
              <w:tabs>
                <w:tab w:val="left" w:pos="7465"/>
              </w:tabs>
              <w:rPr>
                <w:rFonts w:ascii="Arial Narrow" w:hAnsi="Arial Narrow"/>
                <w:b/>
              </w:rPr>
            </w:pPr>
            <w:r>
              <w:rPr>
                <w:rFonts w:ascii="Arial Narrow" w:hAnsi="Arial Narrow"/>
                <w:b/>
                <w:sz w:val="22"/>
              </w:rPr>
              <w:t>Wurde für diese angefrag</w:t>
            </w:r>
            <w:r w:rsidR="00DC6CBD">
              <w:rPr>
                <w:rFonts w:ascii="Arial Narrow" w:hAnsi="Arial Narrow"/>
                <w:b/>
                <w:sz w:val="22"/>
              </w:rPr>
              <w:t>te Untersuchungs- und Behandlungsmethode von Ihrem Kranke</w:t>
            </w:r>
            <w:r w:rsidR="00DB14F4">
              <w:rPr>
                <w:rFonts w:ascii="Arial Narrow" w:hAnsi="Arial Narrow"/>
                <w:b/>
                <w:sz w:val="22"/>
              </w:rPr>
              <w:t>nhaus bereits vor dem 01.01.202</w:t>
            </w:r>
            <w:r w:rsidR="004226DE">
              <w:rPr>
                <w:rFonts w:ascii="Arial Narrow" w:hAnsi="Arial Narrow"/>
                <w:b/>
                <w:sz w:val="22"/>
              </w:rPr>
              <w:t>6</w:t>
            </w:r>
            <w:r w:rsidR="00DC6CBD">
              <w:rPr>
                <w:rFonts w:ascii="Arial Narrow" w:hAnsi="Arial Narrow"/>
                <w:b/>
                <w:sz w:val="22"/>
              </w:rPr>
              <w:t xml:space="preserve"> eine Anfrage gemäß §6 Abs. 2 </w:t>
            </w:r>
            <w:proofErr w:type="spellStart"/>
            <w:r w:rsidR="00DC6CBD">
              <w:rPr>
                <w:rFonts w:ascii="Arial Narrow" w:hAnsi="Arial Narrow"/>
                <w:b/>
                <w:sz w:val="22"/>
              </w:rPr>
              <w:t>KHEntG</w:t>
            </w:r>
            <w:proofErr w:type="spellEnd"/>
            <w:r w:rsidR="00DC6CBD">
              <w:rPr>
                <w:rFonts w:ascii="Arial Narrow" w:hAnsi="Arial Narrow"/>
                <w:b/>
                <w:sz w:val="22"/>
              </w:rPr>
              <w:t xml:space="preserve"> an das InEK übermittelt</w:t>
            </w:r>
            <w:r w:rsidR="002333FF">
              <w:rPr>
                <w:rFonts w:ascii="Arial Narrow" w:hAnsi="Arial Narrow"/>
                <w:b/>
                <w:sz w:val="22"/>
              </w:rPr>
              <w:t>?</w:t>
            </w:r>
          </w:p>
        </w:tc>
      </w:tr>
      <w:tr w:rsidR="00492AB4" w:rsidRPr="005638EB" w14:paraId="3F239A32" w14:textId="77777777" w:rsidTr="0036178C">
        <w:tc>
          <w:tcPr>
            <w:tcW w:w="9212" w:type="dxa"/>
          </w:tcPr>
          <w:p w14:paraId="7DD0679B" w14:textId="6C3A4CF1" w:rsidR="000B5149" w:rsidRPr="000B5149" w:rsidRDefault="00ED79AA" w:rsidP="00DB14F4">
            <w:pPr>
              <w:rPr>
                <w:rFonts w:ascii="Arial Narrow" w:hAnsi="Arial Narrow"/>
                <w:sz w:val="22"/>
                <w:highlight w:val="yellow"/>
              </w:rPr>
            </w:pPr>
            <w:r>
              <w:rPr>
                <w:rFonts w:ascii="Arial Narrow" w:hAnsi="Arial Narrow"/>
                <w:sz w:val="22"/>
                <w:highlight w:val="yellow"/>
              </w:rPr>
              <w:t>[</w:t>
            </w:r>
            <w:r w:rsidR="009B6935" w:rsidRPr="009B6935">
              <w:rPr>
                <w:rFonts w:ascii="Arial Narrow" w:hAnsi="Arial Narrow"/>
                <w:sz w:val="22"/>
                <w:highlight w:val="yellow"/>
              </w:rPr>
              <w:t xml:space="preserve">hier ja ankreuzen, falls Sie zu den Häusern gehören, die im Vorjahr eine Anfrage gestellt haben, sonst nein ankreuzen. Bei ja Anfrage aus dem Vorjahr im Datenportal auswählen. </w:t>
            </w:r>
            <w:r w:rsidR="00DB14F4" w:rsidRPr="009B6935">
              <w:rPr>
                <w:rFonts w:ascii="Arial Narrow" w:hAnsi="Arial Narrow"/>
                <w:sz w:val="22"/>
                <w:highlight w:val="yellow"/>
              </w:rPr>
              <w:t>D</w:t>
            </w:r>
            <w:r w:rsidR="006C656D" w:rsidRPr="009B6935">
              <w:rPr>
                <w:rFonts w:ascii="Arial Narrow" w:hAnsi="Arial Narrow"/>
                <w:sz w:val="22"/>
                <w:highlight w:val="yellow"/>
              </w:rPr>
              <w:t>ie Angab</w:t>
            </w:r>
            <w:r w:rsidR="00DB14F4" w:rsidRPr="009B6935">
              <w:rPr>
                <w:rFonts w:ascii="Arial Narrow" w:hAnsi="Arial Narrow"/>
                <w:sz w:val="22"/>
                <w:highlight w:val="yellow"/>
              </w:rPr>
              <w:t>e der vorangegangenen Verfahre</w:t>
            </w:r>
            <w:r w:rsidR="00BE3979" w:rsidRPr="009B6935">
              <w:rPr>
                <w:rFonts w:ascii="Arial Narrow" w:hAnsi="Arial Narrow"/>
                <w:sz w:val="22"/>
                <w:highlight w:val="yellow"/>
              </w:rPr>
              <w:t>n</w:t>
            </w:r>
            <w:r w:rsidR="00DB14F4" w:rsidRPr="009B6935">
              <w:rPr>
                <w:rFonts w:ascii="Arial Narrow" w:hAnsi="Arial Narrow"/>
                <w:sz w:val="22"/>
                <w:highlight w:val="yellow"/>
              </w:rPr>
              <w:t>s</w:t>
            </w:r>
            <w:r w:rsidR="006C656D" w:rsidRPr="009B6935">
              <w:rPr>
                <w:rFonts w:ascii="Arial Narrow" w:hAnsi="Arial Narrow"/>
                <w:sz w:val="22"/>
                <w:highlight w:val="yellow"/>
              </w:rPr>
              <w:t xml:space="preserve">nummer </w:t>
            </w:r>
            <w:r w:rsidR="00DB14F4" w:rsidRPr="009B6935">
              <w:rPr>
                <w:rFonts w:ascii="Arial Narrow" w:hAnsi="Arial Narrow"/>
                <w:sz w:val="22"/>
                <w:highlight w:val="yellow"/>
              </w:rPr>
              <w:t xml:space="preserve">ist </w:t>
            </w:r>
            <w:r w:rsidR="006C656D" w:rsidRPr="009B6935">
              <w:rPr>
                <w:rFonts w:ascii="Arial Narrow" w:hAnsi="Arial Narrow"/>
                <w:sz w:val="22"/>
                <w:highlight w:val="yellow"/>
              </w:rPr>
              <w:t xml:space="preserve">Pflicht, </w:t>
            </w:r>
            <w:r w:rsidR="00DB14F4" w:rsidRPr="009B6935">
              <w:rPr>
                <w:rFonts w:ascii="Arial Narrow" w:hAnsi="Arial Narrow"/>
                <w:sz w:val="22"/>
                <w:highlight w:val="yellow"/>
              </w:rPr>
              <w:t xml:space="preserve">diese </w:t>
            </w:r>
            <w:r w:rsidR="006C656D" w:rsidRPr="009B6935">
              <w:rPr>
                <w:rFonts w:ascii="Arial Narrow" w:hAnsi="Arial Narrow"/>
                <w:sz w:val="22"/>
                <w:highlight w:val="yellow"/>
              </w:rPr>
              <w:t xml:space="preserve">wird im Formular durch </w:t>
            </w:r>
            <w:r w:rsidR="00A274EA">
              <w:rPr>
                <w:rFonts w:ascii="Arial Narrow" w:hAnsi="Arial Narrow"/>
                <w:sz w:val="22"/>
                <w:highlight w:val="yellow"/>
              </w:rPr>
              <w:t xml:space="preserve">die </w:t>
            </w:r>
            <w:r w:rsidR="006C656D" w:rsidRPr="009B6935">
              <w:rPr>
                <w:rFonts w:ascii="Arial Narrow" w:hAnsi="Arial Narrow"/>
                <w:sz w:val="22"/>
                <w:highlight w:val="yellow"/>
              </w:rPr>
              <w:t>Suchfunktion unterstützt</w:t>
            </w:r>
            <w:r w:rsidR="00DB14F4" w:rsidRPr="009B6935">
              <w:rPr>
                <w:rFonts w:ascii="Arial Narrow" w:hAnsi="Arial Narrow"/>
                <w:sz w:val="22"/>
                <w:highlight w:val="yellow"/>
              </w:rPr>
              <w:t>]</w:t>
            </w:r>
          </w:p>
        </w:tc>
      </w:tr>
    </w:tbl>
    <w:p w14:paraId="53DF57CA" w14:textId="77777777" w:rsidR="00492AB4" w:rsidRPr="005638EB" w:rsidRDefault="00492AB4"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823808B" w14:textId="77777777" w:rsidTr="45541ACE">
        <w:tc>
          <w:tcPr>
            <w:tcW w:w="9212" w:type="dxa"/>
          </w:tcPr>
          <w:p w14:paraId="3A37C23D" w14:textId="6AFD43C7" w:rsidR="008E6675" w:rsidRPr="005638EB" w:rsidRDefault="008E6675" w:rsidP="005638EB">
            <w:pPr>
              <w:rPr>
                <w:rFonts w:ascii="Arial Narrow" w:hAnsi="Arial Narrow"/>
                <w:b/>
              </w:rPr>
            </w:pPr>
            <w:r w:rsidRPr="005638EB">
              <w:rPr>
                <w:rFonts w:ascii="Arial Narrow" w:hAnsi="Arial Narrow"/>
                <w:b/>
                <w:sz w:val="22"/>
              </w:rPr>
              <w:t>Beschreibung der neuen Methode</w:t>
            </w:r>
          </w:p>
        </w:tc>
      </w:tr>
      <w:tr w:rsidR="008E6675" w:rsidRPr="005638EB" w14:paraId="5696BA9D" w14:textId="77777777" w:rsidTr="45541ACE">
        <w:tc>
          <w:tcPr>
            <w:tcW w:w="9212" w:type="dxa"/>
          </w:tcPr>
          <w:p w14:paraId="0ABA480D" w14:textId="77777777" w:rsidR="005A1133" w:rsidRPr="005A1133" w:rsidRDefault="005A1133" w:rsidP="00EE5587">
            <w:pPr>
              <w:rPr>
                <w:rFonts w:ascii="Arial Narrow" w:hAnsi="Arial Narrow"/>
                <w:sz w:val="22"/>
              </w:rPr>
            </w:pPr>
            <w:r w:rsidRPr="005A1133">
              <w:rPr>
                <w:rFonts w:ascii="Arial Narrow" w:hAnsi="Arial Narrow"/>
                <w:sz w:val="22"/>
              </w:rPr>
              <w:t>Die Entwicklung zielgerichteter Therapieoptionen beim fortgeschrittenen oder metastasierten Mammakarzinom entwickelt sich rasch.</w:t>
            </w:r>
          </w:p>
          <w:p w14:paraId="213DDD02" w14:textId="005CC910" w:rsidR="005A1133" w:rsidRPr="005A1133" w:rsidRDefault="005A1133" w:rsidP="00EE5587">
            <w:pPr>
              <w:rPr>
                <w:rFonts w:ascii="Arial Narrow" w:hAnsi="Arial Narrow"/>
                <w:sz w:val="22"/>
                <w:szCs w:val="22"/>
              </w:rPr>
            </w:pPr>
            <w:r w:rsidRPr="15902E5F">
              <w:rPr>
                <w:rFonts w:ascii="Arial Narrow" w:hAnsi="Arial Narrow"/>
                <w:sz w:val="22"/>
                <w:szCs w:val="22"/>
              </w:rPr>
              <w:t xml:space="preserve">ESR1-Mutationen sind erworbene Resistenzmutationen, die unter endokriner Therapie – insbesondere unter Aromatasehemmern – neu entstehen und bei </w:t>
            </w:r>
            <w:r w:rsidR="0092488E" w:rsidRPr="15902E5F">
              <w:rPr>
                <w:rFonts w:ascii="Arial Narrow" w:hAnsi="Arial Narrow"/>
                <w:sz w:val="22"/>
                <w:szCs w:val="22"/>
              </w:rPr>
              <w:t>37,3</w:t>
            </w:r>
            <w:r w:rsidRPr="15902E5F">
              <w:rPr>
                <w:rFonts w:ascii="Arial Narrow" w:hAnsi="Arial Narrow"/>
                <w:sz w:val="22"/>
                <w:szCs w:val="22"/>
              </w:rPr>
              <w:t xml:space="preserve"> % der Patient:innen mit ER-positivem, HER2-negativem fortgeschrittenem Mammakarzinom auftreten</w:t>
            </w:r>
            <w:r w:rsidR="003A1A3D" w:rsidRPr="15902E5F">
              <w:rPr>
                <w:rFonts w:ascii="Arial Narrow" w:hAnsi="Arial Narrow"/>
                <w:sz w:val="22"/>
                <w:szCs w:val="22"/>
              </w:rPr>
              <w:t xml:space="preserve"> (vgl. Bidard FC, Mayer EL, Park YH et al., First-line </w:t>
            </w:r>
            <w:proofErr w:type="spellStart"/>
            <w:r w:rsidR="003A1A3D" w:rsidRPr="15902E5F">
              <w:rPr>
                <w:rFonts w:ascii="Arial Narrow" w:hAnsi="Arial Narrow"/>
                <w:sz w:val="22"/>
                <w:szCs w:val="22"/>
              </w:rPr>
              <w:t>camizestrant</w:t>
            </w:r>
            <w:proofErr w:type="spellEnd"/>
            <w:r w:rsidR="003A1A3D" w:rsidRPr="15902E5F">
              <w:rPr>
                <w:rFonts w:ascii="Arial Narrow" w:hAnsi="Arial Narrow"/>
                <w:sz w:val="22"/>
                <w:szCs w:val="22"/>
              </w:rPr>
              <w:t xml:space="preserve"> for </w:t>
            </w:r>
            <w:proofErr w:type="spellStart"/>
            <w:r w:rsidR="003A1A3D" w:rsidRPr="15902E5F">
              <w:rPr>
                <w:rFonts w:ascii="Arial Narrow" w:hAnsi="Arial Narrow"/>
                <w:sz w:val="22"/>
                <w:szCs w:val="22"/>
              </w:rPr>
              <w:t>emerging</w:t>
            </w:r>
            <w:proofErr w:type="spellEnd"/>
            <w:r w:rsidR="003A1A3D" w:rsidRPr="15902E5F">
              <w:rPr>
                <w:rFonts w:ascii="Arial Narrow" w:hAnsi="Arial Narrow"/>
                <w:sz w:val="22"/>
                <w:szCs w:val="22"/>
              </w:rPr>
              <w:t xml:space="preserve"> ESR1-mutated </w:t>
            </w:r>
            <w:proofErr w:type="spellStart"/>
            <w:r w:rsidR="003A1A3D" w:rsidRPr="15902E5F">
              <w:rPr>
                <w:rFonts w:ascii="Arial Narrow" w:hAnsi="Arial Narrow"/>
                <w:sz w:val="22"/>
                <w:szCs w:val="22"/>
              </w:rPr>
              <w:t>advanced</w:t>
            </w:r>
            <w:proofErr w:type="spellEnd"/>
            <w:r w:rsidR="003A1A3D" w:rsidRPr="15902E5F">
              <w:rPr>
                <w:rFonts w:ascii="Arial Narrow" w:hAnsi="Arial Narrow"/>
                <w:sz w:val="22"/>
                <w:szCs w:val="22"/>
              </w:rPr>
              <w:t xml:space="preserve"> </w:t>
            </w:r>
            <w:proofErr w:type="spellStart"/>
            <w:r w:rsidR="003A1A3D" w:rsidRPr="15902E5F">
              <w:rPr>
                <w:rFonts w:ascii="Arial Narrow" w:hAnsi="Arial Narrow"/>
                <w:sz w:val="22"/>
                <w:szCs w:val="22"/>
              </w:rPr>
              <w:t>breast</w:t>
            </w:r>
            <w:proofErr w:type="spellEnd"/>
            <w:r w:rsidR="003A1A3D" w:rsidRPr="15902E5F">
              <w:rPr>
                <w:rFonts w:ascii="Arial Narrow" w:hAnsi="Arial Narrow"/>
                <w:sz w:val="22"/>
                <w:szCs w:val="22"/>
              </w:rPr>
              <w:t xml:space="preserve"> </w:t>
            </w:r>
            <w:proofErr w:type="spellStart"/>
            <w:r w:rsidR="003A1A3D" w:rsidRPr="15902E5F">
              <w:rPr>
                <w:rFonts w:ascii="Arial Narrow" w:hAnsi="Arial Narrow"/>
                <w:sz w:val="22"/>
                <w:szCs w:val="22"/>
              </w:rPr>
              <w:t>cancer</w:t>
            </w:r>
            <w:proofErr w:type="spellEnd"/>
            <w:r w:rsidR="003A1A3D" w:rsidRPr="15902E5F">
              <w:rPr>
                <w:rFonts w:ascii="Arial Narrow" w:hAnsi="Arial Narrow"/>
                <w:sz w:val="22"/>
                <w:szCs w:val="22"/>
              </w:rPr>
              <w:t xml:space="preserve">, N Engl J Med 2025;393:569–580; Häufigkeitsangabe nach </w:t>
            </w:r>
            <w:proofErr w:type="spellStart"/>
            <w:r w:rsidR="0092488E" w:rsidRPr="15902E5F">
              <w:rPr>
                <w:rFonts w:ascii="Arial Narrow" w:hAnsi="Arial Narrow"/>
                <w:sz w:val="22"/>
                <w:szCs w:val="22"/>
              </w:rPr>
              <w:t>Spoerke</w:t>
            </w:r>
            <w:proofErr w:type="spellEnd"/>
            <w:r w:rsidR="0092488E" w:rsidRPr="15902E5F">
              <w:rPr>
                <w:rFonts w:ascii="Arial Narrow" w:hAnsi="Arial Narrow"/>
                <w:sz w:val="22"/>
                <w:szCs w:val="22"/>
              </w:rPr>
              <w:t xml:space="preserve"> JM et al., Nat Commun 2016;7:11579</w:t>
            </w:r>
            <w:r w:rsidR="003A1A3D" w:rsidRPr="15902E5F">
              <w:rPr>
                <w:rFonts w:ascii="Arial Narrow" w:hAnsi="Arial Narrow"/>
                <w:sz w:val="22"/>
                <w:szCs w:val="22"/>
              </w:rPr>
              <w:t>)</w:t>
            </w:r>
            <w:r w:rsidRPr="15902E5F">
              <w:rPr>
                <w:rFonts w:ascii="Arial Narrow" w:hAnsi="Arial Narrow"/>
                <w:sz w:val="22"/>
                <w:szCs w:val="22"/>
              </w:rPr>
              <w:t xml:space="preserve">. Sie sind im </w:t>
            </w:r>
            <w:r w:rsidR="002A4F2D" w:rsidRPr="15902E5F">
              <w:rPr>
                <w:rFonts w:ascii="Arial Narrow" w:hAnsi="Arial Narrow"/>
                <w:sz w:val="22"/>
                <w:szCs w:val="22"/>
              </w:rPr>
              <w:t>Tumorgewebe zum Zeitpunkt der Diagnos</w:t>
            </w:r>
            <w:r w:rsidR="00D761C9">
              <w:rPr>
                <w:rFonts w:ascii="Arial Narrow" w:hAnsi="Arial Narrow"/>
                <w:sz w:val="22"/>
                <w:szCs w:val="22"/>
              </w:rPr>
              <w:t>e</w:t>
            </w:r>
            <w:r w:rsidRPr="15902E5F">
              <w:rPr>
                <w:rFonts w:ascii="Arial Narrow" w:hAnsi="Arial Narrow"/>
                <w:sz w:val="22"/>
                <w:szCs w:val="22"/>
              </w:rPr>
              <w:t xml:space="preserve"> typischerweise nicht nachweisbar und lassen sich</w:t>
            </w:r>
            <w:r w:rsidR="003C0A4A">
              <w:rPr>
                <w:rFonts w:ascii="Arial Narrow" w:hAnsi="Arial Narrow"/>
                <w:sz w:val="22"/>
                <w:szCs w:val="22"/>
              </w:rPr>
              <w:t xml:space="preserve"> im Verlauf</w:t>
            </w:r>
            <w:r w:rsidRPr="15902E5F">
              <w:rPr>
                <w:rFonts w:ascii="Arial Narrow" w:hAnsi="Arial Narrow"/>
                <w:sz w:val="22"/>
                <w:szCs w:val="22"/>
              </w:rPr>
              <w:t xml:space="preserve"> bevorzugt aus zirkulierender Tumor-DNA (</w:t>
            </w:r>
            <w:proofErr w:type="spellStart"/>
            <w:r w:rsidRPr="15902E5F">
              <w:rPr>
                <w:rFonts w:ascii="Arial Narrow" w:hAnsi="Arial Narrow"/>
                <w:sz w:val="22"/>
                <w:szCs w:val="22"/>
              </w:rPr>
              <w:t>ctDNA</w:t>
            </w:r>
            <w:proofErr w:type="spellEnd"/>
            <w:r w:rsidRPr="15902E5F">
              <w:rPr>
                <w:rFonts w:ascii="Arial Narrow" w:hAnsi="Arial Narrow"/>
                <w:sz w:val="22"/>
                <w:szCs w:val="22"/>
              </w:rPr>
              <w:t xml:space="preserve">) erfassen. </w:t>
            </w:r>
            <w:r w:rsidR="0075164A" w:rsidRPr="15902E5F">
              <w:rPr>
                <w:rFonts w:ascii="Arial Narrow" w:hAnsi="Arial Narrow"/>
                <w:sz w:val="22"/>
                <w:szCs w:val="22"/>
              </w:rPr>
              <w:t xml:space="preserve">Da sich der ESR1-Mutationsstatus im Verlauf der Therapie verändern kann, bildet eine einmalige Untersuchung die Resistenzentwicklung nicht zuverlässig ab. </w:t>
            </w:r>
            <w:r w:rsidR="00833686" w:rsidRPr="00EA4B3A">
              <w:rPr>
                <w:rFonts w:ascii="Arial Narrow" w:hAnsi="Arial Narrow"/>
                <w:sz w:val="22"/>
                <w:szCs w:val="22"/>
              </w:rPr>
              <w:t>Erforderlich</w:t>
            </w:r>
            <w:r w:rsidRPr="15902E5F">
              <w:rPr>
                <w:rFonts w:ascii="Arial Narrow" w:hAnsi="Arial Narrow"/>
                <w:sz w:val="22"/>
                <w:szCs w:val="22"/>
              </w:rPr>
              <w:t xml:space="preserve"> ist d</w:t>
            </w:r>
            <w:r w:rsidR="0075164A" w:rsidRPr="15902E5F">
              <w:rPr>
                <w:rFonts w:ascii="Arial Narrow" w:hAnsi="Arial Narrow"/>
                <w:sz w:val="22"/>
                <w:szCs w:val="22"/>
              </w:rPr>
              <w:t>aher</w:t>
            </w:r>
            <w:r w:rsidRPr="15902E5F">
              <w:rPr>
                <w:rFonts w:ascii="Arial Narrow" w:hAnsi="Arial Narrow"/>
                <w:sz w:val="22"/>
                <w:szCs w:val="22"/>
              </w:rPr>
              <w:t xml:space="preserve"> eine serielle Bestimmung des ESR1-Status.</w:t>
            </w:r>
          </w:p>
          <w:p w14:paraId="2136956E" w14:textId="3D962C91" w:rsidR="00EE5587" w:rsidRPr="00EE5587" w:rsidRDefault="00EE5587" w:rsidP="00EE5587">
            <w:pPr>
              <w:rPr>
                <w:rFonts w:ascii="Arial Narrow" w:hAnsi="Arial Narrow"/>
                <w:sz w:val="22"/>
              </w:rPr>
            </w:pPr>
          </w:p>
          <w:p w14:paraId="23A12C1B" w14:textId="63D92C17" w:rsidR="003E5098" w:rsidRPr="003E5098" w:rsidRDefault="003E5098" w:rsidP="00B5763A">
            <w:pPr>
              <w:rPr>
                <w:rFonts w:ascii="Arial Narrow" w:hAnsi="Arial Narrow"/>
                <w:sz w:val="22"/>
                <w:szCs w:val="22"/>
              </w:rPr>
            </w:pPr>
            <w:r w:rsidRPr="3B775452">
              <w:rPr>
                <w:rFonts w:ascii="Arial Narrow" w:hAnsi="Arial Narrow"/>
                <w:sz w:val="22"/>
                <w:szCs w:val="22"/>
              </w:rPr>
              <w:t>Der Nachweis einer ESR1-Mutation ist Voraussetzung für die Verordnung des selektiven Östrogenrezeptor-</w:t>
            </w:r>
            <w:proofErr w:type="spellStart"/>
            <w:r w:rsidRPr="3B775452">
              <w:rPr>
                <w:rFonts w:ascii="Arial Narrow" w:hAnsi="Arial Narrow"/>
                <w:sz w:val="22"/>
                <w:szCs w:val="22"/>
              </w:rPr>
              <w:t>Degraders</w:t>
            </w:r>
            <w:proofErr w:type="spellEnd"/>
            <w:r w:rsidRPr="3B775452">
              <w:rPr>
                <w:rFonts w:ascii="Arial Narrow" w:hAnsi="Arial Narrow"/>
                <w:sz w:val="22"/>
                <w:szCs w:val="22"/>
              </w:rPr>
              <w:t xml:space="preserve"> </w:t>
            </w:r>
            <w:proofErr w:type="spellStart"/>
            <w:r w:rsidRPr="3B775452">
              <w:rPr>
                <w:rFonts w:ascii="Arial Narrow" w:hAnsi="Arial Narrow"/>
                <w:sz w:val="22"/>
                <w:szCs w:val="22"/>
              </w:rPr>
              <w:t>Camizestrant</w:t>
            </w:r>
            <w:proofErr w:type="spellEnd"/>
            <w:r w:rsidRPr="3B775452">
              <w:rPr>
                <w:rFonts w:ascii="Arial Narrow" w:hAnsi="Arial Narrow"/>
                <w:sz w:val="22"/>
                <w:szCs w:val="22"/>
              </w:rPr>
              <w:t xml:space="preserve">  in Kombination mit einem CDK4/6-Inhibitor. Der Nachweis </w:t>
            </w:r>
            <w:r w:rsidR="00187493" w:rsidRPr="3B775452">
              <w:rPr>
                <w:rFonts w:ascii="Arial Narrow" w:hAnsi="Arial Narrow"/>
                <w:sz w:val="22"/>
                <w:szCs w:val="22"/>
              </w:rPr>
              <w:t xml:space="preserve">wurde </w:t>
            </w:r>
            <w:r w:rsidRPr="3B775452">
              <w:rPr>
                <w:rFonts w:ascii="Arial Narrow" w:hAnsi="Arial Narrow"/>
                <w:sz w:val="22"/>
                <w:szCs w:val="22"/>
              </w:rPr>
              <w:t>in de</w:t>
            </w:r>
            <w:r w:rsidR="00C80614" w:rsidRPr="00C80614">
              <w:rPr>
                <w:rFonts w:ascii="Arial Narrow" w:hAnsi="Arial Narrow"/>
                <w:sz w:val="22"/>
                <w:szCs w:val="22"/>
              </w:rPr>
              <w:t>r Zulassungsstudie SERENA-6</w:t>
            </w:r>
            <w:r w:rsidRPr="3B775452">
              <w:rPr>
                <w:rFonts w:ascii="Arial Narrow" w:hAnsi="Arial Narrow"/>
                <w:sz w:val="22"/>
                <w:szCs w:val="22"/>
              </w:rPr>
              <w:t xml:space="preserve"> aus zirkulierender Tumor-DNA geführt</w:t>
            </w:r>
            <w:r w:rsidR="00187493" w:rsidRPr="3B775452">
              <w:rPr>
                <w:rFonts w:ascii="Arial Narrow" w:hAnsi="Arial Narrow"/>
                <w:sz w:val="22"/>
                <w:szCs w:val="22"/>
              </w:rPr>
              <w:t>;</w:t>
            </w:r>
            <w:r w:rsidRPr="3B775452">
              <w:rPr>
                <w:rFonts w:ascii="Arial Narrow" w:hAnsi="Arial Narrow"/>
                <w:sz w:val="22"/>
                <w:szCs w:val="22"/>
              </w:rPr>
              <w:t xml:space="preserve"> die Flüssigbiopsie </w:t>
            </w:r>
            <w:r w:rsidR="00187493" w:rsidRPr="3B775452">
              <w:rPr>
                <w:rFonts w:ascii="Arial Narrow" w:hAnsi="Arial Narrow"/>
                <w:sz w:val="22"/>
                <w:szCs w:val="22"/>
              </w:rPr>
              <w:t xml:space="preserve">ist daher </w:t>
            </w:r>
            <w:r w:rsidRPr="3B775452">
              <w:rPr>
                <w:rFonts w:ascii="Arial Narrow" w:hAnsi="Arial Narrow"/>
                <w:sz w:val="22"/>
                <w:szCs w:val="22"/>
              </w:rPr>
              <w:t>die Analysemethode der Wahl.</w:t>
            </w:r>
          </w:p>
          <w:p w14:paraId="1C4815FD" w14:textId="1D7D68F1" w:rsidR="00D03323" w:rsidRDefault="003E5098" w:rsidP="00B5763A">
            <w:pPr>
              <w:rPr>
                <w:rFonts w:ascii="Arial Narrow" w:hAnsi="Arial Narrow"/>
                <w:sz w:val="22"/>
                <w:szCs w:val="22"/>
              </w:rPr>
            </w:pPr>
            <w:r w:rsidRPr="4A9B3C09">
              <w:rPr>
                <w:rFonts w:ascii="Arial Narrow" w:hAnsi="Arial Narrow"/>
                <w:sz w:val="22"/>
                <w:szCs w:val="22"/>
              </w:rPr>
              <w:t>Die Therapieentscheidung richtet sich unmittelbar nach dem Ergebnis dieser Diagnostik</w:t>
            </w:r>
            <w:r w:rsidR="003D45A8" w:rsidRPr="4A9B3C09">
              <w:rPr>
                <w:rFonts w:ascii="Arial Narrow" w:hAnsi="Arial Narrow"/>
                <w:sz w:val="22"/>
                <w:szCs w:val="22"/>
              </w:rPr>
              <w:t>.</w:t>
            </w:r>
            <w:r w:rsidRPr="4A9B3C09">
              <w:rPr>
                <w:rFonts w:ascii="Arial Narrow" w:hAnsi="Arial Narrow"/>
                <w:sz w:val="22"/>
                <w:szCs w:val="22"/>
              </w:rPr>
              <w:t xml:space="preserve"> Ohne dokumentierte ESR1-Mutation ist die Therapie nicht indiziert.</w:t>
            </w:r>
          </w:p>
          <w:p w14:paraId="26ECDEFD" w14:textId="77777777" w:rsidR="00EB0961" w:rsidRPr="00EB0961" w:rsidRDefault="00EB0961" w:rsidP="00B5763A">
            <w:pPr>
              <w:rPr>
                <w:rFonts w:ascii="Arial Narrow" w:hAnsi="Arial Narrow"/>
                <w:sz w:val="22"/>
              </w:rPr>
            </w:pPr>
            <w:r w:rsidRPr="00EB0961">
              <w:rPr>
                <w:rFonts w:ascii="Arial Narrow" w:hAnsi="Arial Narrow"/>
                <w:sz w:val="22"/>
              </w:rPr>
              <w:lastRenderedPageBreak/>
              <w:t>In der vollständig überarbeiteten S3-Leitlinie „Früherkennung, Diagnostik, Therapie und Nachsorge des Mammakarzinoms" (Version 5.1, Juni 2026, AWMF-Registernummer 032-045OL) richtet sich die Therapiewahl im metastasierten Stadium konsequent nach dem molekulargenetischen Profil des Tumors.</w:t>
            </w:r>
          </w:p>
          <w:p w14:paraId="3610F2E6" w14:textId="62758D30" w:rsidR="00B5763A" w:rsidRPr="00B5763A" w:rsidRDefault="000E6789" w:rsidP="00B5763A">
            <w:pPr>
              <w:rPr>
                <w:rFonts w:ascii="Arial Narrow" w:hAnsi="Arial Narrow"/>
                <w:sz w:val="22"/>
                <w:szCs w:val="22"/>
              </w:rPr>
            </w:pPr>
            <w:r w:rsidRPr="000E6789">
              <w:rPr>
                <w:rFonts w:ascii="Arial Narrow" w:hAnsi="Arial Narrow"/>
                <w:sz w:val="22"/>
                <w:szCs w:val="22"/>
              </w:rPr>
              <w:t>Die Phase-III-Studie SERENA-6 belegt den klinischen Nutzen einer seriellen ESR1-Testung im Therapieverlauf</w:t>
            </w:r>
            <w:r w:rsidR="00CF46A3" w:rsidRPr="227E0469">
              <w:rPr>
                <w:rFonts w:ascii="Arial Narrow" w:hAnsi="Arial Narrow"/>
                <w:sz w:val="22"/>
                <w:szCs w:val="22"/>
              </w:rPr>
              <w:t>.</w:t>
            </w:r>
            <w:r w:rsidR="00EB0961" w:rsidRPr="227E0469">
              <w:rPr>
                <w:rFonts w:ascii="Arial Narrow" w:hAnsi="Arial Narrow"/>
                <w:sz w:val="22"/>
                <w:szCs w:val="22"/>
              </w:rPr>
              <w:t xml:space="preserve"> Dort wurde der ESR1-Status alle zwei bis drei Monate parallel zur </w:t>
            </w:r>
            <w:proofErr w:type="spellStart"/>
            <w:r w:rsidR="00EB0961" w:rsidRPr="227E0469">
              <w:rPr>
                <w:rFonts w:ascii="Arial Narrow" w:hAnsi="Arial Narrow"/>
                <w:sz w:val="22"/>
                <w:szCs w:val="22"/>
              </w:rPr>
              <w:t>Routinebildgebung</w:t>
            </w:r>
            <w:proofErr w:type="spellEnd"/>
            <w:r w:rsidR="00EB0961" w:rsidRPr="227E0469">
              <w:rPr>
                <w:rFonts w:ascii="Arial Narrow" w:hAnsi="Arial Narrow"/>
                <w:sz w:val="22"/>
                <w:szCs w:val="22"/>
              </w:rPr>
              <w:t xml:space="preserve"> aus </w:t>
            </w:r>
            <w:proofErr w:type="spellStart"/>
            <w:r w:rsidR="00EB0961" w:rsidRPr="227E0469">
              <w:rPr>
                <w:rFonts w:ascii="Arial Narrow" w:hAnsi="Arial Narrow"/>
                <w:sz w:val="22"/>
                <w:szCs w:val="22"/>
              </w:rPr>
              <w:t>ctDNA</w:t>
            </w:r>
            <w:proofErr w:type="spellEnd"/>
            <w:r w:rsidR="00EB0961" w:rsidRPr="227E0469">
              <w:rPr>
                <w:rFonts w:ascii="Arial Narrow" w:hAnsi="Arial Narrow"/>
                <w:sz w:val="22"/>
                <w:szCs w:val="22"/>
              </w:rPr>
              <w:t xml:space="preserve"> bestimmt und die endokrine Therapie bereits beim molekularen Nachweis einer ESR1-Mutation – also vor radiologischem Progress – umgestellt. Das progressionsfreie Überleben verlängerte sich dadurch von 9,2 auf 16,8 Monate (Hazard Ratio 0,45; </w:t>
            </w:r>
            <w:r w:rsidR="00786C7E" w:rsidRPr="00786C7E">
              <w:rPr>
                <w:rFonts w:ascii="Arial Narrow" w:hAnsi="Arial Narrow"/>
                <w:sz w:val="22"/>
                <w:szCs w:val="22"/>
              </w:rPr>
              <w:t xml:space="preserve">erweiterte Analyse: Turner </w:t>
            </w:r>
            <w:r w:rsidR="00786C7E">
              <w:rPr>
                <w:rFonts w:ascii="Arial Narrow" w:hAnsi="Arial Narrow"/>
                <w:sz w:val="22"/>
                <w:szCs w:val="22"/>
              </w:rPr>
              <w:t>et al.</w:t>
            </w:r>
            <w:r w:rsidR="00786C7E" w:rsidRPr="00786C7E">
              <w:rPr>
                <w:rFonts w:ascii="Arial Narrow" w:hAnsi="Arial Narrow"/>
                <w:sz w:val="22"/>
                <w:szCs w:val="22"/>
              </w:rPr>
              <w:t>,</w:t>
            </w:r>
            <w:r w:rsidR="00786C7E">
              <w:rPr>
                <w:rFonts w:ascii="Arial Narrow" w:hAnsi="Arial Narrow"/>
                <w:sz w:val="22"/>
                <w:szCs w:val="22"/>
              </w:rPr>
              <w:t xml:space="preserve"> </w:t>
            </w:r>
            <w:r w:rsidR="00786C7E" w:rsidRPr="00786C7E">
              <w:rPr>
                <w:rFonts w:ascii="Arial Narrow" w:hAnsi="Arial Narrow"/>
                <w:sz w:val="22"/>
                <w:szCs w:val="22"/>
              </w:rPr>
              <w:t>2026; Erstpublikation: Bidard FC et al.,</w:t>
            </w:r>
            <w:r w:rsidR="00EB0961" w:rsidRPr="227E0469">
              <w:rPr>
                <w:rFonts w:ascii="Arial Narrow" w:hAnsi="Arial Narrow"/>
                <w:sz w:val="22"/>
                <w:szCs w:val="22"/>
              </w:rPr>
              <w:t xml:space="preserve"> N Engl J Med 2025;393:569–580). Der in dieser Strategie eingesetzte Wirkstoff Camizestrant </w:t>
            </w:r>
            <w:r w:rsidR="00045FDD" w:rsidRPr="227E0469">
              <w:rPr>
                <w:rFonts w:ascii="Arial Narrow" w:hAnsi="Arial Narrow"/>
                <w:sz w:val="22"/>
                <w:szCs w:val="22"/>
              </w:rPr>
              <w:t xml:space="preserve"> wurde am 2</w:t>
            </w:r>
            <w:r w:rsidR="00FF04F8">
              <w:rPr>
                <w:rFonts w:ascii="Arial Narrow" w:hAnsi="Arial Narrow"/>
                <w:sz w:val="22"/>
                <w:szCs w:val="22"/>
              </w:rPr>
              <w:t>0</w:t>
            </w:r>
            <w:r w:rsidR="00045FDD" w:rsidRPr="227E0469">
              <w:rPr>
                <w:rFonts w:ascii="Arial Narrow" w:hAnsi="Arial Narrow"/>
                <w:sz w:val="22"/>
                <w:szCs w:val="22"/>
              </w:rPr>
              <w:t>. Juli 2026 von der Europäischen Kommission zugelassen – in Kombination mit einem CDK4/6-Inhibitor (</w:t>
            </w:r>
            <w:proofErr w:type="spellStart"/>
            <w:r w:rsidR="00045FDD" w:rsidRPr="227E0469">
              <w:rPr>
                <w:rFonts w:ascii="Arial Narrow" w:hAnsi="Arial Narrow"/>
                <w:sz w:val="22"/>
                <w:szCs w:val="22"/>
              </w:rPr>
              <w:t>Palbociclib</w:t>
            </w:r>
            <w:proofErr w:type="spellEnd"/>
            <w:r w:rsidR="00045FDD" w:rsidRPr="227E0469">
              <w:rPr>
                <w:rFonts w:ascii="Arial Narrow" w:hAnsi="Arial Narrow"/>
                <w:sz w:val="22"/>
                <w:szCs w:val="22"/>
              </w:rPr>
              <w:t xml:space="preserve">, </w:t>
            </w:r>
            <w:proofErr w:type="spellStart"/>
            <w:r w:rsidR="00045FDD" w:rsidRPr="227E0469">
              <w:rPr>
                <w:rFonts w:ascii="Arial Narrow" w:hAnsi="Arial Narrow"/>
                <w:sz w:val="22"/>
                <w:szCs w:val="22"/>
              </w:rPr>
              <w:t>Ribociclib</w:t>
            </w:r>
            <w:proofErr w:type="spellEnd"/>
            <w:r w:rsidR="00045FDD" w:rsidRPr="227E0469">
              <w:rPr>
                <w:rFonts w:ascii="Arial Narrow" w:hAnsi="Arial Narrow"/>
                <w:sz w:val="22"/>
                <w:szCs w:val="22"/>
              </w:rPr>
              <w:t xml:space="preserve"> oder </w:t>
            </w:r>
            <w:proofErr w:type="spellStart"/>
            <w:r w:rsidR="00045FDD" w:rsidRPr="227E0469">
              <w:rPr>
                <w:rFonts w:ascii="Arial Narrow" w:hAnsi="Arial Narrow"/>
                <w:sz w:val="22"/>
                <w:szCs w:val="22"/>
              </w:rPr>
              <w:t>Abemaciclib</w:t>
            </w:r>
            <w:proofErr w:type="spellEnd"/>
            <w:r w:rsidR="00045FDD" w:rsidRPr="227E0469">
              <w:rPr>
                <w:rFonts w:ascii="Arial Narrow" w:hAnsi="Arial Narrow"/>
                <w:sz w:val="22"/>
                <w:szCs w:val="22"/>
              </w:rPr>
              <w:t xml:space="preserve">) für das ER+/HER2- lokal fortgeschrittene oder metastasierte Mammakarzinom bei Nachweis einer ESR1-Mutation und ohne Krankheitsprogression unter endokriner Erstlinientherapie. Der Wirkstoff kommt </w:t>
            </w:r>
            <w:r w:rsidR="00BE0902" w:rsidRPr="227E0469">
              <w:rPr>
                <w:rFonts w:ascii="Arial Narrow" w:hAnsi="Arial Narrow"/>
                <w:sz w:val="22"/>
                <w:szCs w:val="22"/>
              </w:rPr>
              <w:t xml:space="preserve">damit </w:t>
            </w:r>
            <w:r w:rsidR="00045FDD" w:rsidRPr="227E0469">
              <w:rPr>
                <w:rFonts w:ascii="Arial Narrow" w:hAnsi="Arial Narrow"/>
                <w:sz w:val="22"/>
                <w:szCs w:val="22"/>
              </w:rPr>
              <w:t>gerade dann zum Einsatz, wenn die Mutation vor einem radiologischen Progress detektiert wird</w:t>
            </w:r>
            <w:r w:rsidR="00EB0961" w:rsidRPr="227E0469">
              <w:rPr>
                <w:rFonts w:ascii="Arial Narrow" w:hAnsi="Arial Narrow"/>
                <w:sz w:val="22"/>
                <w:szCs w:val="22"/>
              </w:rPr>
              <w:t>.</w:t>
            </w:r>
          </w:p>
          <w:p w14:paraId="0AF79188" w14:textId="388265A4" w:rsidR="00DB14F4" w:rsidRPr="005638EB" w:rsidRDefault="00EB0961" w:rsidP="00060008">
            <w:pPr>
              <w:rPr>
                <w:rFonts w:ascii="Arial Narrow" w:hAnsi="Arial Narrow"/>
                <w:lang w:val="de-CH"/>
              </w:rPr>
            </w:pPr>
            <w:r w:rsidRPr="45541ACE">
              <w:rPr>
                <w:rFonts w:ascii="Arial Narrow" w:hAnsi="Arial Narrow"/>
                <w:sz w:val="22"/>
                <w:szCs w:val="22"/>
              </w:rPr>
              <w:t>Die Bestimmung erfolgt aus Blutplasma (</w:t>
            </w:r>
            <w:proofErr w:type="spellStart"/>
            <w:r w:rsidRPr="45541ACE">
              <w:rPr>
                <w:rFonts w:ascii="Arial Narrow" w:hAnsi="Arial Narrow"/>
                <w:sz w:val="22"/>
                <w:szCs w:val="22"/>
              </w:rPr>
              <w:t>Flüssigbiopsat</w:t>
            </w:r>
            <w:proofErr w:type="spellEnd"/>
            <w:r w:rsidRPr="45541ACE">
              <w:rPr>
                <w:rFonts w:ascii="Arial Narrow" w:hAnsi="Arial Narrow"/>
                <w:sz w:val="22"/>
                <w:szCs w:val="22"/>
              </w:rPr>
              <w:t xml:space="preserve">) mittels hochsensitiver </w:t>
            </w:r>
            <w:r w:rsidR="00B16616" w:rsidRPr="45541ACE">
              <w:rPr>
                <w:rFonts w:ascii="Arial Narrow" w:hAnsi="Arial Narrow"/>
                <w:sz w:val="22"/>
                <w:szCs w:val="22"/>
              </w:rPr>
              <w:t>PCR-Verfahren (z. B. digitale PCR)</w:t>
            </w:r>
            <w:r w:rsidRPr="45541ACE">
              <w:rPr>
                <w:rFonts w:ascii="Arial Narrow" w:hAnsi="Arial Narrow"/>
                <w:sz w:val="22"/>
                <w:szCs w:val="22"/>
              </w:rPr>
              <w:t xml:space="preserve"> oder NGS-Verfahren, die </w:t>
            </w:r>
            <w:r w:rsidR="472DFB30" w:rsidRPr="45541ACE">
              <w:rPr>
                <w:rFonts w:ascii="Arial Narrow" w:hAnsi="Arial Narrow"/>
                <w:sz w:val="22"/>
                <w:szCs w:val="22"/>
              </w:rPr>
              <w:t xml:space="preserve">die </w:t>
            </w:r>
            <w:r w:rsidRPr="45541ACE">
              <w:rPr>
                <w:rFonts w:ascii="Arial Narrow" w:hAnsi="Arial Narrow"/>
                <w:sz w:val="22"/>
                <w:szCs w:val="22"/>
              </w:rPr>
              <w:t>Varianten mit niedriger Allelfrequenz zuverlässig erfassen. Die Untersuchung wird im Verlauf der endokrinen Therapie mehrfach wiederholt; für jeden Untersuchungszeitpunkt fällt der volle Analyseaufwand erneut an.</w:t>
            </w:r>
          </w:p>
        </w:tc>
      </w:tr>
    </w:tbl>
    <w:p w14:paraId="6F81F951"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F33158" w14:textId="77777777">
        <w:tc>
          <w:tcPr>
            <w:tcW w:w="9212" w:type="dxa"/>
          </w:tcPr>
          <w:p w14:paraId="684681EC" w14:textId="7F246CCE" w:rsidR="008E6675" w:rsidRPr="005638EB" w:rsidRDefault="008E6675" w:rsidP="005638EB">
            <w:pPr>
              <w:rPr>
                <w:rFonts w:ascii="Arial Narrow" w:hAnsi="Arial Narrow"/>
                <w:b/>
              </w:rPr>
            </w:pPr>
            <w:r w:rsidRPr="005638EB">
              <w:rPr>
                <w:rFonts w:ascii="Arial Narrow" w:hAnsi="Arial Narrow"/>
                <w:b/>
                <w:sz w:val="22"/>
              </w:rPr>
              <w:t>Mit welchem OPS wird die Methode verschlüsselt?</w:t>
            </w:r>
          </w:p>
        </w:tc>
      </w:tr>
      <w:tr w:rsidR="008E6675" w:rsidRPr="006354B6" w14:paraId="5C95386E" w14:textId="77777777">
        <w:tc>
          <w:tcPr>
            <w:tcW w:w="9212" w:type="dxa"/>
          </w:tcPr>
          <w:p w14:paraId="276EB151" w14:textId="46F31D63" w:rsidR="00CC7E5F" w:rsidRPr="006354B6" w:rsidRDefault="00C61133" w:rsidP="00435583">
            <w:pPr>
              <w:rPr>
                <w:rFonts w:ascii="Arial Narrow" w:hAnsi="Arial Narrow"/>
                <w:sz w:val="22"/>
              </w:rPr>
            </w:pPr>
            <w:r w:rsidRPr="00C61133">
              <w:rPr>
                <w:rFonts w:ascii="Arial Narrow" w:hAnsi="Arial Narrow"/>
                <w:sz w:val="22"/>
              </w:rPr>
              <w:t>1-995, 1-996</w:t>
            </w:r>
          </w:p>
        </w:tc>
      </w:tr>
    </w:tbl>
    <w:p w14:paraId="63A2C327" w14:textId="77777777" w:rsidR="00DC6CBD" w:rsidRPr="006354B6" w:rsidRDefault="00DC6CBD" w:rsidP="00EE0D0B">
      <w:pPr>
        <w:jc w:val="center"/>
        <w:rPr>
          <w:rFonts w:ascii="Arial Narrow" w:hAnsi="Arial Narrow"/>
          <w:sz w:val="22"/>
        </w:rPr>
      </w:pPr>
    </w:p>
    <w:tbl>
      <w:tblPr>
        <w:tblStyle w:val="TableNormal1"/>
        <w:tblW w:w="924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gridCol w:w="35"/>
      </w:tblGrid>
      <w:tr w:rsidR="004C4F82" w:rsidRPr="005638EB" w14:paraId="1C363EAC" w14:textId="77777777" w:rsidTr="00A77582">
        <w:trPr>
          <w:gridAfter w:val="1"/>
          <w:wAfter w:w="35" w:type="dxa"/>
        </w:trPr>
        <w:tc>
          <w:tcPr>
            <w:tcW w:w="9212" w:type="dxa"/>
          </w:tcPr>
          <w:p w14:paraId="76259E49" w14:textId="0E1E9B3E" w:rsidR="004C4F82" w:rsidRPr="005638EB" w:rsidRDefault="002333FF" w:rsidP="0036178C">
            <w:pPr>
              <w:rPr>
                <w:rFonts w:ascii="Arial Narrow" w:hAnsi="Arial Narrow"/>
                <w:b/>
              </w:rPr>
            </w:pPr>
            <w:r>
              <w:rPr>
                <w:rFonts w:ascii="Arial Narrow" w:hAnsi="Arial Narrow"/>
                <w:b/>
                <w:sz w:val="22"/>
              </w:rPr>
              <w:t>Anmerkungen zu den Proz</w:t>
            </w:r>
            <w:r w:rsidR="004C4F82" w:rsidRPr="004C4F82">
              <w:rPr>
                <w:rFonts w:ascii="Arial Narrow" w:hAnsi="Arial Narrow"/>
                <w:b/>
                <w:sz w:val="22"/>
              </w:rPr>
              <w:t>eduren</w:t>
            </w:r>
          </w:p>
        </w:tc>
      </w:tr>
      <w:tr w:rsidR="004C4F82" w:rsidRPr="007F255B" w14:paraId="131FE40C" w14:textId="77777777" w:rsidTr="00A77582">
        <w:tc>
          <w:tcPr>
            <w:tcW w:w="9247" w:type="dxa"/>
            <w:gridSpan w:val="2"/>
          </w:tcPr>
          <w:p w14:paraId="64713A19" w14:textId="77777777" w:rsidR="00E65FA9" w:rsidRPr="00E65FA9" w:rsidRDefault="00E65FA9" w:rsidP="00E140C3">
            <w:pPr>
              <w:rPr>
                <w:rFonts w:ascii="Arial Narrow" w:hAnsi="Arial Narrow"/>
                <w:sz w:val="22"/>
              </w:rPr>
            </w:pPr>
            <w:r w:rsidRPr="00E65FA9">
              <w:rPr>
                <w:rFonts w:ascii="Arial Narrow" w:hAnsi="Arial Narrow"/>
                <w:sz w:val="22"/>
              </w:rPr>
              <w:t xml:space="preserve">Die OPS-Kodes 1-995 und 1-996 kodieren die Analyse genetischer Veränderungen bei soliden bösartigen Neubildungen. Sie erfassen ausdrücklich auch Analysen aus </w:t>
            </w:r>
            <w:proofErr w:type="spellStart"/>
            <w:r w:rsidRPr="00E65FA9">
              <w:rPr>
                <w:rFonts w:ascii="Arial Narrow" w:hAnsi="Arial Narrow"/>
                <w:sz w:val="22"/>
              </w:rPr>
              <w:t>Flüssigbiopsaten</w:t>
            </w:r>
            <w:proofErr w:type="spellEnd"/>
            <w:r w:rsidRPr="00E65FA9">
              <w:rPr>
                <w:rFonts w:ascii="Arial Narrow" w:hAnsi="Arial Narrow"/>
                <w:sz w:val="22"/>
              </w:rPr>
              <w:t xml:space="preserve"> (zirkulierende freie Nukleinsäuren); Aufbereitung und Präanalytik sind im Kode enthalten und nicht gesondert zu kodieren.</w:t>
            </w:r>
          </w:p>
          <w:p w14:paraId="263CFAD5" w14:textId="77777777" w:rsidR="00E65FA9" w:rsidRPr="00E65FA9" w:rsidRDefault="00E65FA9" w:rsidP="00E140C3">
            <w:pPr>
              <w:rPr>
                <w:rFonts w:ascii="Arial Narrow" w:hAnsi="Arial Narrow"/>
                <w:sz w:val="22"/>
              </w:rPr>
            </w:pPr>
            <w:r w:rsidRPr="00E65FA9">
              <w:rPr>
                <w:rFonts w:ascii="Arial Narrow" w:hAnsi="Arial Narrow"/>
                <w:sz w:val="22"/>
              </w:rPr>
              <w:t>Fokus 1-995: (Gezielte) Analyse genetischer Veränderungen in soliden bösartigen Neubildungen; 1-995.1 Untersuchung auf Genmutationen, 6. Stelle nach Anzahl der Zielstrukturen.</w:t>
            </w:r>
          </w:p>
          <w:p w14:paraId="1675D317" w14:textId="77777777" w:rsidR="00E65FA9" w:rsidRPr="00E65FA9" w:rsidRDefault="00E65FA9" w:rsidP="00E140C3">
            <w:pPr>
              <w:rPr>
                <w:rFonts w:ascii="Arial Narrow" w:hAnsi="Arial Narrow"/>
                <w:sz w:val="22"/>
              </w:rPr>
            </w:pPr>
            <w:r w:rsidRPr="00E65FA9">
              <w:rPr>
                <w:rFonts w:ascii="Arial Narrow" w:hAnsi="Arial Narrow"/>
                <w:sz w:val="22"/>
              </w:rPr>
              <w:t xml:space="preserve">Fokus 1-996: Hochdurchsatz-Sequenzierungsverfahren [NGS] zur Analyse genetischer Veränderungen bei/in soliden bösartigen Neubildungen; 1-996.0 Gewebeprobe, 1-996.1 </w:t>
            </w:r>
            <w:proofErr w:type="spellStart"/>
            <w:r w:rsidRPr="00E65FA9">
              <w:rPr>
                <w:rFonts w:ascii="Arial Narrow" w:hAnsi="Arial Narrow"/>
                <w:sz w:val="22"/>
              </w:rPr>
              <w:t>Flüssigbiopsat</w:t>
            </w:r>
            <w:proofErr w:type="spellEnd"/>
            <w:r w:rsidRPr="00E65FA9">
              <w:rPr>
                <w:rFonts w:ascii="Arial Narrow" w:hAnsi="Arial Narrow"/>
                <w:sz w:val="22"/>
              </w:rPr>
              <w:t>, 6. Stelle nach Anzahl der Kilobasen.</w:t>
            </w:r>
          </w:p>
          <w:p w14:paraId="48201DB1" w14:textId="7D822755" w:rsidR="004C4F82" w:rsidRPr="00435583" w:rsidRDefault="00E65FA9" w:rsidP="00E140C3">
            <w:pPr>
              <w:rPr>
                <w:rFonts w:ascii="Arial Narrow" w:hAnsi="Arial Narrow"/>
                <w:sz w:val="22"/>
                <w:szCs w:val="22"/>
              </w:rPr>
            </w:pPr>
            <w:r w:rsidRPr="00E65FA9">
              <w:rPr>
                <w:rFonts w:ascii="Arial Narrow" w:hAnsi="Arial Narrow"/>
                <w:sz w:val="22"/>
              </w:rPr>
              <w:t>Bei Genmutationsanalysen zur Indikationsstellung einer gezielten medikamentösen Therapie dürfen diese Kodes nur für die Diagnostik in Bezug auf zugelassene Anwendungsgebiete angegeben werden. Diese Voraussetzung ist mit der Zulassung von Camizestrant am 2</w:t>
            </w:r>
            <w:r w:rsidR="00A800E6">
              <w:rPr>
                <w:rFonts w:ascii="Arial Narrow" w:hAnsi="Arial Narrow"/>
                <w:sz w:val="22"/>
              </w:rPr>
              <w:t>0</w:t>
            </w:r>
            <w:r w:rsidRPr="00E65FA9">
              <w:rPr>
                <w:rFonts w:ascii="Arial Narrow" w:hAnsi="Arial Narrow"/>
                <w:sz w:val="22"/>
              </w:rPr>
              <w:t>. Juli 2026 erfüllt.</w:t>
            </w:r>
          </w:p>
        </w:tc>
      </w:tr>
    </w:tbl>
    <w:p w14:paraId="497C648B" w14:textId="77777777" w:rsidR="004C4F82" w:rsidRPr="005638EB" w:rsidRDefault="004C4F82"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C579B85" w14:textId="77777777" w:rsidTr="2AACD2D2">
        <w:tc>
          <w:tcPr>
            <w:tcW w:w="9212" w:type="dxa"/>
          </w:tcPr>
          <w:p w14:paraId="442A0D93" w14:textId="77777777" w:rsidR="008E6675" w:rsidRPr="005638EB" w:rsidRDefault="008E6675" w:rsidP="005638EB">
            <w:pPr>
              <w:rPr>
                <w:rFonts w:ascii="Arial Narrow" w:hAnsi="Arial Narrow"/>
                <w:b/>
              </w:rPr>
            </w:pPr>
            <w:r w:rsidRPr="005638EB">
              <w:rPr>
                <w:rFonts w:ascii="Arial Narrow" w:hAnsi="Arial Narrow"/>
                <w:b/>
                <w:sz w:val="22"/>
              </w:rPr>
              <w:t>Bei welchen Patienten wird die Methode angewandt (Indikation)?</w:t>
            </w:r>
          </w:p>
        </w:tc>
      </w:tr>
      <w:tr w:rsidR="008E6675" w:rsidRPr="007F255B" w14:paraId="158F0243" w14:textId="77777777" w:rsidTr="2AACD2D2">
        <w:tc>
          <w:tcPr>
            <w:tcW w:w="9212" w:type="dxa"/>
          </w:tcPr>
          <w:p w14:paraId="3A2B25AD" w14:textId="5D70E647" w:rsidR="00EB0961" w:rsidRPr="00D47A2E" w:rsidRDefault="640E9EDA" w:rsidP="2AACD2D2">
            <w:pPr>
              <w:rPr>
                <w:rFonts w:ascii="Arial Narrow" w:hAnsi="Arial Narrow"/>
                <w:sz w:val="22"/>
                <w:szCs w:val="22"/>
              </w:rPr>
            </w:pPr>
            <w:r w:rsidRPr="2AACD2D2">
              <w:rPr>
                <w:rFonts w:ascii="Arial Narrow" w:hAnsi="Arial Narrow"/>
                <w:sz w:val="22"/>
                <w:szCs w:val="22"/>
              </w:rPr>
              <w:t xml:space="preserve">Die Methode wird bei Patient:innen mit bösartiger Neubildung der Brustdrüse (ICD-10 C50.-) angewendet. Die serielle Bestimmung des ESR1-Status aus zirkulierender Tumor-DNA erfolgt bei Patient:innen mit </w:t>
            </w:r>
            <w:r w:rsidR="00595203" w:rsidRPr="2AACD2D2">
              <w:rPr>
                <w:rFonts w:ascii="Arial Narrow" w:hAnsi="Arial Narrow"/>
                <w:sz w:val="22"/>
                <w:szCs w:val="22"/>
              </w:rPr>
              <w:t>Östrogenrezeptor (</w:t>
            </w:r>
            <w:r w:rsidRPr="2AACD2D2">
              <w:rPr>
                <w:rFonts w:ascii="Arial Narrow" w:hAnsi="Arial Narrow"/>
                <w:sz w:val="22"/>
                <w:szCs w:val="22"/>
              </w:rPr>
              <w:t>ER)-positivem, HER2-negativem, lokal fortgeschrittenem oder metastasiertem Mammakarzinom unter laufender endokriner Therapie.</w:t>
            </w:r>
          </w:p>
          <w:p w14:paraId="60293C01" w14:textId="3E453097" w:rsidR="00BF6F41" w:rsidRPr="00BF6F41" w:rsidRDefault="2CFBE12D" w:rsidP="00B161C6">
            <w:pPr>
              <w:rPr>
                <w:rFonts w:ascii="Arial Narrow" w:hAnsi="Arial Narrow"/>
                <w:sz w:val="22"/>
                <w:szCs w:val="22"/>
              </w:rPr>
            </w:pPr>
            <w:r w:rsidRPr="2AACD2D2">
              <w:rPr>
                <w:rFonts w:ascii="Arial Narrow" w:hAnsi="Arial Narrow"/>
                <w:sz w:val="22"/>
                <w:szCs w:val="22"/>
              </w:rPr>
              <w:t xml:space="preserve">Maßgeblich ist die Zulassung von </w:t>
            </w:r>
            <w:r w:rsidR="00595203" w:rsidRPr="2AACD2D2">
              <w:rPr>
                <w:rFonts w:ascii="Arial Narrow" w:hAnsi="Arial Narrow"/>
                <w:sz w:val="22"/>
                <w:szCs w:val="22"/>
              </w:rPr>
              <w:t>Camizestrant vom</w:t>
            </w:r>
            <w:r w:rsidRPr="2AACD2D2">
              <w:rPr>
                <w:rFonts w:ascii="Arial Narrow" w:hAnsi="Arial Narrow"/>
                <w:sz w:val="22"/>
                <w:szCs w:val="22"/>
              </w:rPr>
              <w:t xml:space="preserve"> </w:t>
            </w:r>
            <w:r w:rsidR="257ABACA" w:rsidRPr="2AACD2D2">
              <w:rPr>
                <w:rFonts w:ascii="Arial Narrow" w:hAnsi="Arial Narrow"/>
                <w:sz w:val="22"/>
                <w:szCs w:val="22"/>
              </w:rPr>
              <w:t>20</w:t>
            </w:r>
            <w:r w:rsidRPr="2AACD2D2">
              <w:rPr>
                <w:rFonts w:ascii="Arial Narrow" w:hAnsi="Arial Narrow"/>
                <w:sz w:val="22"/>
                <w:szCs w:val="22"/>
              </w:rPr>
              <w:t>. Juli 2026: in Kombination mit einem CDK4/6-Inhibitor bei Nachweis einer ESR1-Mutation und ohne Krankheitsprogression unter endokriner Erstlinientherapie. Für diese Indikation ist die serielle Testung</w:t>
            </w:r>
            <w:r w:rsidR="00EC0599">
              <w:rPr>
                <w:rFonts w:ascii="Arial Narrow" w:hAnsi="Arial Narrow"/>
                <w:sz w:val="22"/>
                <w:szCs w:val="22"/>
              </w:rPr>
              <w:t xml:space="preserve"> bis</w:t>
            </w:r>
            <w:r w:rsidR="001E6C4B">
              <w:rPr>
                <w:rFonts w:ascii="Arial Narrow" w:hAnsi="Arial Narrow"/>
                <w:sz w:val="22"/>
                <w:szCs w:val="22"/>
              </w:rPr>
              <w:t xml:space="preserve"> zu</w:t>
            </w:r>
            <w:r w:rsidR="0032727F">
              <w:rPr>
                <w:rFonts w:ascii="Arial Narrow" w:hAnsi="Arial Narrow"/>
                <w:sz w:val="22"/>
                <w:szCs w:val="22"/>
              </w:rPr>
              <w:t>m N</w:t>
            </w:r>
            <w:r w:rsidR="000805C1">
              <w:rPr>
                <w:rFonts w:ascii="Arial Narrow" w:hAnsi="Arial Narrow"/>
                <w:sz w:val="22"/>
                <w:szCs w:val="22"/>
              </w:rPr>
              <w:t>ac</w:t>
            </w:r>
            <w:r w:rsidR="004D546F">
              <w:rPr>
                <w:rFonts w:ascii="Arial Narrow" w:hAnsi="Arial Narrow"/>
                <w:sz w:val="22"/>
                <w:szCs w:val="22"/>
              </w:rPr>
              <w:t>h</w:t>
            </w:r>
            <w:r w:rsidR="00BB2D83">
              <w:rPr>
                <w:rFonts w:ascii="Arial Narrow" w:hAnsi="Arial Narrow"/>
                <w:sz w:val="22"/>
                <w:szCs w:val="22"/>
              </w:rPr>
              <w:t xml:space="preserve">weis einer </w:t>
            </w:r>
            <w:r w:rsidR="008D344F">
              <w:rPr>
                <w:rFonts w:ascii="Arial Narrow" w:hAnsi="Arial Narrow"/>
                <w:sz w:val="22"/>
                <w:szCs w:val="22"/>
              </w:rPr>
              <w:t>ES</w:t>
            </w:r>
            <w:r w:rsidR="00121945">
              <w:rPr>
                <w:rFonts w:ascii="Arial Narrow" w:hAnsi="Arial Narrow"/>
                <w:sz w:val="22"/>
                <w:szCs w:val="22"/>
              </w:rPr>
              <w:t>R</w:t>
            </w:r>
            <w:r w:rsidR="00F011C4">
              <w:rPr>
                <w:rFonts w:ascii="Arial Narrow" w:hAnsi="Arial Narrow"/>
                <w:sz w:val="22"/>
                <w:szCs w:val="22"/>
              </w:rPr>
              <w:t>1</w:t>
            </w:r>
            <w:r w:rsidR="009019E5">
              <w:rPr>
                <w:rFonts w:ascii="Arial Narrow" w:hAnsi="Arial Narrow"/>
                <w:sz w:val="22"/>
                <w:szCs w:val="22"/>
              </w:rPr>
              <w:t>-M</w:t>
            </w:r>
            <w:r w:rsidR="00BD6B1F">
              <w:rPr>
                <w:rFonts w:ascii="Arial Narrow" w:hAnsi="Arial Narrow"/>
                <w:sz w:val="22"/>
                <w:szCs w:val="22"/>
              </w:rPr>
              <w:t>utation</w:t>
            </w:r>
            <w:r w:rsidR="00711F4D">
              <w:rPr>
                <w:rFonts w:ascii="Arial Narrow" w:hAnsi="Arial Narrow"/>
                <w:sz w:val="22"/>
                <w:szCs w:val="22"/>
              </w:rPr>
              <w:t xml:space="preserve"> </w:t>
            </w:r>
            <w:r w:rsidRPr="2AACD2D2">
              <w:rPr>
                <w:rFonts w:ascii="Arial Narrow" w:hAnsi="Arial Narrow"/>
                <w:sz w:val="22"/>
                <w:szCs w:val="22"/>
              </w:rPr>
              <w:t>nicht optional, sondern konstitutiv: Ohne wiederholte Bestimmung des ESR1-Status im Verlauf kann der Zeitpunkt, an dem die Verordnung indiziert ist, nicht erkannt werden.</w:t>
            </w:r>
          </w:p>
          <w:p w14:paraId="661CBDFF" w14:textId="5396A450" w:rsidR="00BF6F41" w:rsidRPr="00BF6F41" w:rsidRDefault="00BF6F41" w:rsidP="00B161C6">
            <w:pPr>
              <w:rPr>
                <w:rFonts w:ascii="Arial Narrow" w:hAnsi="Arial Narrow"/>
                <w:sz w:val="22"/>
                <w:szCs w:val="22"/>
              </w:rPr>
            </w:pPr>
            <w:r w:rsidRPr="2B32E920">
              <w:rPr>
                <w:rFonts w:ascii="Arial Narrow" w:hAnsi="Arial Narrow"/>
                <w:sz w:val="22"/>
                <w:szCs w:val="22"/>
              </w:rPr>
              <w:lastRenderedPageBreak/>
              <w:t>Da ESR1-Mutationen</w:t>
            </w:r>
            <w:r w:rsidR="00FE282E">
              <w:rPr>
                <w:rFonts w:ascii="Arial Narrow" w:hAnsi="Arial Narrow"/>
                <w:sz w:val="22"/>
                <w:szCs w:val="22"/>
              </w:rPr>
              <w:t xml:space="preserve"> </w:t>
            </w:r>
            <w:r w:rsidR="00FC1EA6">
              <w:rPr>
                <w:rFonts w:ascii="Arial Narrow" w:hAnsi="Arial Narrow"/>
                <w:sz w:val="22"/>
                <w:szCs w:val="22"/>
              </w:rPr>
              <w:t>in der Reg</w:t>
            </w:r>
            <w:r w:rsidR="006B692A">
              <w:rPr>
                <w:rFonts w:ascii="Arial Narrow" w:hAnsi="Arial Narrow"/>
                <w:sz w:val="22"/>
                <w:szCs w:val="22"/>
              </w:rPr>
              <w:t xml:space="preserve">el </w:t>
            </w:r>
            <w:r w:rsidRPr="2B32E920">
              <w:rPr>
                <w:rFonts w:ascii="Arial Narrow" w:hAnsi="Arial Narrow"/>
                <w:sz w:val="22"/>
                <w:szCs w:val="22"/>
              </w:rPr>
              <w:t xml:space="preserve">erst unter der laufenden Therapie entstehen, kann ein zu einem früheren Zeitpunkt negatives Ergebnis den späteren Mutationsstatus nicht abbilden; die Untersuchung ist daher im Krankheitsverlauf wiederholt </w:t>
            </w:r>
            <w:r w:rsidR="00595203" w:rsidRPr="2B32E920">
              <w:rPr>
                <w:rFonts w:ascii="Arial Narrow" w:hAnsi="Arial Narrow"/>
                <w:sz w:val="22"/>
                <w:szCs w:val="22"/>
              </w:rPr>
              <w:t>erforderlich,</w:t>
            </w:r>
            <w:r w:rsidR="00581804">
              <w:rPr>
                <w:rFonts w:ascii="Arial Narrow" w:hAnsi="Arial Narrow"/>
                <w:sz w:val="22"/>
                <w:szCs w:val="22"/>
              </w:rPr>
              <w:t xml:space="preserve"> bis </w:t>
            </w:r>
            <w:r w:rsidR="00665393">
              <w:rPr>
                <w:rFonts w:ascii="Arial Narrow" w:hAnsi="Arial Narrow"/>
                <w:sz w:val="22"/>
                <w:szCs w:val="22"/>
              </w:rPr>
              <w:t>eine Mut</w:t>
            </w:r>
            <w:r w:rsidR="00405AE8">
              <w:rPr>
                <w:rFonts w:ascii="Arial Narrow" w:hAnsi="Arial Narrow"/>
                <w:sz w:val="22"/>
                <w:szCs w:val="22"/>
              </w:rPr>
              <w:t xml:space="preserve">ation </w:t>
            </w:r>
            <w:r w:rsidR="00426CFC">
              <w:rPr>
                <w:rFonts w:ascii="Arial Narrow" w:hAnsi="Arial Narrow"/>
                <w:sz w:val="22"/>
                <w:szCs w:val="22"/>
              </w:rPr>
              <w:t>nachge</w:t>
            </w:r>
            <w:r w:rsidR="002A1968">
              <w:rPr>
                <w:rFonts w:ascii="Arial Narrow" w:hAnsi="Arial Narrow"/>
                <w:sz w:val="22"/>
                <w:szCs w:val="22"/>
              </w:rPr>
              <w:t xml:space="preserve">wiesen </w:t>
            </w:r>
            <w:r w:rsidR="003F46C9">
              <w:rPr>
                <w:rFonts w:ascii="Arial Narrow" w:hAnsi="Arial Narrow"/>
                <w:sz w:val="22"/>
                <w:szCs w:val="22"/>
              </w:rPr>
              <w:t>wurde</w:t>
            </w:r>
            <w:r w:rsidRPr="2B32E920">
              <w:rPr>
                <w:rFonts w:ascii="Arial Narrow" w:hAnsi="Arial Narrow"/>
                <w:sz w:val="22"/>
                <w:szCs w:val="22"/>
              </w:rPr>
              <w:t>.</w:t>
            </w:r>
          </w:p>
          <w:p w14:paraId="606B75B1" w14:textId="416DE91A" w:rsidR="008E6675" w:rsidRPr="007F255B" w:rsidRDefault="00BF6F41" w:rsidP="00B161C6">
            <w:pPr>
              <w:rPr>
                <w:rFonts w:ascii="Arial Narrow" w:hAnsi="Arial Narrow"/>
                <w:sz w:val="22"/>
                <w:szCs w:val="22"/>
              </w:rPr>
            </w:pPr>
            <w:r w:rsidRPr="00BF6F41">
              <w:rPr>
                <w:rFonts w:ascii="Arial Narrow" w:hAnsi="Arial Narrow"/>
                <w:sz w:val="22"/>
              </w:rPr>
              <w:t xml:space="preserve">Ergänzend setzt auch </w:t>
            </w:r>
            <w:proofErr w:type="spellStart"/>
            <w:r w:rsidRPr="00BF6F41">
              <w:rPr>
                <w:rFonts w:ascii="Arial Narrow" w:hAnsi="Arial Narrow"/>
                <w:sz w:val="22"/>
              </w:rPr>
              <w:t>Elacestrant</w:t>
            </w:r>
            <w:proofErr w:type="spellEnd"/>
            <w:r w:rsidRPr="00BF6F41">
              <w:rPr>
                <w:rFonts w:ascii="Arial Narrow" w:hAnsi="Arial Narrow"/>
                <w:sz w:val="22"/>
              </w:rPr>
              <w:t xml:space="preserve"> den Nachweis einer aktivierenden ESR1-Mutation voraus, dort bei Progression nach mindestens einer endokrinen Therapie einschließlich eines CDK4/6-Inhibitors.</w:t>
            </w:r>
          </w:p>
        </w:tc>
      </w:tr>
    </w:tbl>
    <w:p w14:paraId="2A567A9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544A3AED" w14:textId="77777777" w:rsidTr="47D098FE">
        <w:trPr>
          <w:trHeight w:val="234"/>
        </w:trPr>
        <w:tc>
          <w:tcPr>
            <w:tcW w:w="9212" w:type="dxa"/>
          </w:tcPr>
          <w:p w14:paraId="52A9B9D0" w14:textId="77777777" w:rsidR="008E6675" w:rsidRPr="005638EB" w:rsidRDefault="008E6675" w:rsidP="005638EB">
            <w:pPr>
              <w:rPr>
                <w:rFonts w:ascii="Arial Narrow" w:hAnsi="Arial Narrow"/>
                <w:b/>
              </w:rPr>
            </w:pPr>
            <w:r w:rsidRPr="005638EB">
              <w:rPr>
                <w:rFonts w:ascii="Arial Narrow" w:hAnsi="Arial Narrow"/>
                <w:b/>
                <w:sz w:val="22"/>
              </w:rPr>
              <w:t>Welche bestehende Methode wird durch die neue Methode abgelöst oder ergänzt?</w:t>
            </w:r>
          </w:p>
        </w:tc>
      </w:tr>
      <w:tr w:rsidR="008E6675" w:rsidRPr="007F255B" w14:paraId="6B0057FA" w14:textId="77777777" w:rsidTr="47D098FE">
        <w:tc>
          <w:tcPr>
            <w:tcW w:w="9212" w:type="dxa"/>
          </w:tcPr>
          <w:p w14:paraId="15A854CF" w14:textId="3EDCFC42" w:rsidR="00D47A2E" w:rsidRPr="00D47A2E" w:rsidRDefault="00D47A2E" w:rsidP="00E0309A">
            <w:pPr>
              <w:rPr>
                <w:rFonts w:ascii="Arial Narrow" w:hAnsi="Arial Narrow"/>
                <w:sz w:val="22"/>
              </w:rPr>
            </w:pPr>
            <w:r w:rsidRPr="00D47A2E">
              <w:rPr>
                <w:rFonts w:ascii="Arial Narrow" w:hAnsi="Arial Narrow"/>
                <w:sz w:val="22"/>
              </w:rPr>
              <w:t xml:space="preserve">Abgelöst wird keine bestehende Methode. Die serielle ESR1-Bestimmung ergänzt die bisherige einmalige molekularpathologische Charakterisierung </w:t>
            </w:r>
            <w:r w:rsidR="001243E5">
              <w:rPr>
                <w:rFonts w:ascii="Arial Narrow" w:hAnsi="Arial Narrow"/>
                <w:sz w:val="22"/>
              </w:rPr>
              <w:t xml:space="preserve">der </w:t>
            </w:r>
            <w:r w:rsidR="00595203">
              <w:rPr>
                <w:rFonts w:ascii="Arial Narrow" w:hAnsi="Arial Narrow"/>
                <w:sz w:val="22"/>
              </w:rPr>
              <w:t>Erstlinientherapie</w:t>
            </w:r>
            <w:r w:rsidR="00595203" w:rsidRPr="00D47A2E">
              <w:rPr>
                <w:rFonts w:ascii="Arial Narrow" w:hAnsi="Arial Narrow"/>
                <w:sz w:val="22"/>
              </w:rPr>
              <w:t xml:space="preserve"> (</w:t>
            </w:r>
            <w:r w:rsidRPr="00D47A2E">
              <w:rPr>
                <w:rFonts w:ascii="Arial Narrow" w:hAnsi="Arial Narrow"/>
                <w:sz w:val="22"/>
              </w:rPr>
              <w:t>u. a. gBRCA1/2 sowie PIK3CA,) und die bildgebende Verlaufskontrolle.</w:t>
            </w:r>
          </w:p>
          <w:p w14:paraId="23476870" w14:textId="751C1A97" w:rsidR="00D47A2E" w:rsidRPr="00D47A2E" w:rsidRDefault="2A44B59C" w:rsidP="47D098FE">
            <w:pPr>
              <w:rPr>
                <w:rFonts w:ascii="Arial Narrow" w:hAnsi="Arial Narrow"/>
                <w:sz w:val="22"/>
                <w:szCs w:val="22"/>
              </w:rPr>
            </w:pPr>
            <w:r w:rsidRPr="47D098FE">
              <w:rPr>
                <w:rFonts w:ascii="Arial Narrow" w:hAnsi="Arial Narrow"/>
                <w:sz w:val="22"/>
                <w:szCs w:val="22"/>
              </w:rPr>
              <w:t xml:space="preserve">Die therapeutischen Optionen beim ER+/HER2- fortgeschrittenen oder metastasierten Mammakarzinom sind mittlerweile komplex. </w:t>
            </w:r>
          </w:p>
          <w:p w14:paraId="0659956C" w14:textId="523515AE" w:rsidR="002833CE" w:rsidRPr="002833CE" w:rsidRDefault="2A44B59C" w:rsidP="47D098FE">
            <w:pPr>
              <w:rPr>
                <w:rFonts w:ascii="Arial Narrow" w:hAnsi="Arial Narrow"/>
                <w:sz w:val="22"/>
                <w:szCs w:val="22"/>
              </w:rPr>
            </w:pPr>
            <w:r w:rsidRPr="47D098FE">
              <w:rPr>
                <w:rFonts w:ascii="Arial Narrow" w:hAnsi="Arial Narrow"/>
                <w:sz w:val="22"/>
                <w:szCs w:val="22"/>
              </w:rPr>
              <w:t xml:space="preserve">Aus ökonomischer Sicht ist maßgeblich: </w:t>
            </w:r>
            <w:r w:rsidR="130A7267" w:rsidRPr="47D098FE">
              <w:rPr>
                <w:rFonts w:ascii="Arial Narrow" w:hAnsi="Arial Narrow"/>
                <w:sz w:val="22"/>
                <w:szCs w:val="22"/>
              </w:rPr>
              <w:t>Camiz</w:t>
            </w:r>
            <w:r w:rsidRPr="47D098FE">
              <w:rPr>
                <w:rFonts w:ascii="Arial Narrow" w:hAnsi="Arial Narrow"/>
                <w:sz w:val="22"/>
                <w:szCs w:val="22"/>
              </w:rPr>
              <w:t xml:space="preserve">estrant, dessen Verordnung den </w:t>
            </w:r>
            <w:r w:rsidR="130A7267" w:rsidRPr="47D098FE">
              <w:rPr>
                <w:rFonts w:ascii="Arial Narrow" w:hAnsi="Arial Narrow"/>
                <w:sz w:val="22"/>
                <w:szCs w:val="22"/>
              </w:rPr>
              <w:t xml:space="preserve">seriellen </w:t>
            </w:r>
            <w:r w:rsidRPr="47D098FE">
              <w:rPr>
                <w:rFonts w:ascii="Arial Narrow" w:hAnsi="Arial Narrow"/>
                <w:sz w:val="22"/>
                <w:szCs w:val="22"/>
              </w:rPr>
              <w:t>ESR1-Nachweis voraussetzt, w</w:t>
            </w:r>
            <w:r w:rsidR="130A7267" w:rsidRPr="47D098FE">
              <w:rPr>
                <w:rFonts w:ascii="Arial Narrow" w:hAnsi="Arial Narrow"/>
                <w:sz w:val="22"/>
                <w:szCs w:val="22"/>
              </w:rPr>
              <w:t>urde erst am 2</w:t>
            </w:r>
            <w:r w:rsidR="3395D96E" w:rsidRPr="47D098FE">
              <w:rPr>
                <w:rFonts w:ascii="Arial Narrow" w:hAnsi="Arial Narrow"/>
                <w:sz w:val="22"/>
                <w:szCs w:val="22"/>
              </w:rPr>
              <w:t>0</w:t>
            </w:r>
            <w:r w:rsidR="130A7267" w:rsidRPr="47D098FE">
              <w:rPr>
                <w:rFonts w:ascii="Arial Narrow" w:hAnsi="Arial Narrow"/>
                <w:sz w:val="22"/>
                <w:szCs w:val="22"/>
              </w:rPr>
              <w:t>. Juli 2026 zugelassen und ist in der Aufstellung</w:t>
            </w:r>
            <w:r w:rsidRPr="47D098FE">
              <w:rPr>
                <w:rFonts w:ascii="Arial Narrow" w:hAnsi="Arial Narrow"/>
                <w:sz w:val="22"/>
                <w:szCs w:val="22"/>
              </w:rPr>
              <w:t xml:space="preserve"> für 2026 </w:t>
            </w:r>
            <w:r w:rsidR="130A7267" w:rsidRPr="47D098FE">
              <w:rPr>
                <w:rFonts w:ascii="Arial Narrow" w:hAnsi="Arial Narrow"/>
                <w:sz w:val="22"/>
                <w:szCs w:val="22"/>
              </w:rPr>
              <w:t>nicht enthalten</w:t>
            </w:r>
            <w:r w:rsidRPr="47D098FE">
              <w:rPr>
                <w:rFonts w:ascii="Arial Narrow" w:hAnsi="Arial Narrow"/>
                <w:sz w:val="22"/>
                <w:szCs w:val="22"/>
              </w:rPr>
              <w:t xml:space="preserve">; der Nachweis von ESR1-Mutationen aus </w:t>
            </w:r>
            <w:proofErr w:type="spellStart"/>
            <w:r w:rsidRPr="47D098FE">
              <w:rPr>
                <w:rFonts w:ascii="Arial Narrow" w:hAnsi="Arial Narrow"/>
                <w:sz w:val="22"/>
                <w:szCs w:val="22"/>
              </w:rPr>
              <w:t>Flüssigbiopsat</w:t>
            </w:r>
            <w:proofErr w:type="spellEnd"/>
            <w:r w:rsidRPr="47D098FE">
              <w:rPr>
                <w:rFonts w:ascii="Arial Narrow" w:hAnsi="Arial Narrow"/>
                <w:sz w:val="22"/>
                <w:szCs w:val="22"/>
              </w:rPr>
              <w:t xml:space="preserve"> ist gesondert mit NUB-Status 2 gelistet und damit nicht über ein NUB-Entgelt abgebildet</w:t>
            </w:r>
            <w:r w:rsidR="00B16616">
              <w:rPr>
                <w:rFonts w:ascii="Arial Narrow" w:hAnsi="Arial Narrow"/>
                <w:sz w:val="22"/>
                <w:szCs w:val="22"/>
              </w:rPr>
              <w:t>; dieser Status erfasst ausschließlich die einmalige Bestimmung</w:t>
            </w:r>
            <w:r w:rsidRPr="47D098FE">
              <w:rPr>
                <w:rFonts w:ascii="Arial Narrow" w:hAnsi="Arial Narrow"/>
                <w:sz w:val="22"/>
                <w:szCs w:val="22"/>
              </w:rPr>
              <w:t>. Die wiederholte Durchführung im Therapieverlauf ist in keiner der beiden Positionen berücksichtigt.</w:t>
            </w:r>
            <w:r w:rsidR="5F515853" w:rsidRPr="47D098FE">
              <w:rPr>
                <w:rFonts w:ascii="Arial Narrow" w:hAnsi="Arial Narrow"/>
                <w:sz w:val="22"/>
                <w:szCs w:val="22"/>
              </w:rPr>
              <w:t xml:space="preserve"> </w:t>
            </w:r>
            <w:r w:rsidR="130A7267" w:rsidRPr="47D098FE">
              <w:rPr>
                <w:rFonts w:ascii="Arial Narrow" w:hAnsi="Arial Narrow"/>
                <w:sz w:val="22"/>
                <w:szCs w:val="22"/>
              </w:rPr>
              <w:t xml:space="preserve">Ergänzend weist </w:t>
            </w:r>
            <w:proofErr w:type="spellStart"/>
            <w:r w:rsidR="130A7267" w:rsidRPr="47D098FE">
              <w:rPr>
                <w:rFonts w:ascii="Arial Narrow" w:hAnsi="Arial Narrow"/>
                <w:sz w:val="22"/>
                <w:szCs w:val="22"/>
              </w:rPr>
              <w:t>Elacestrant</w:t>
            </w:r>
            <w:proofErr w:type="spellEnd"/>
            <w:r w:rsidR="5F515853" w:rsidRPr="47D098FE">
              <w:rPr>
                <w:rFonts w:ascii="Arial Narrow" w:hAnsi="Arial Narrow"/>
                <w:sz w:val="22"/>
                <w:szCs w:val="22"/>
              </w:rPr>
              <w:t xml:space="preserve">, dessen </w:t>
            </w:r>
            <w:r w:rsidR="130A7267" w:rsidRPr="47D098FE">
              <w:rPr>
                <w:rFonts w:ascii="Arial Narrow" w:hAnsi="Arial Narrow"/>
                <w:sz w:val="22"/>
                <w:szCs w:val="22"/>
              </w:rPr>
              <w:t>Verordnung ebenfalls einen</w:t>
            </w:r>
            <w:r w:rsidR="5F515853" w:rsidRPr="47D098FE">
              <w:rPr>
                <w:rFonts w:ascii="Arial Narrow" w:hAnsi="Arial Narrow"/>
                <w:sz w:val="22"/>
                <w:szCs w:val="22"/>
              </w:rPr>
              <w:t xml:space="preserve"> ESR1-</w:t>
            </w:r>
            <w:r w:rsidR="130A7267" w:rsidRPr="47D098FE">
              <w:rPr>
                <w:rFonts w:ascii="Arial Narrow" w:hAnsi="Arial Narrow"/>
                <w:sz w:val="22"/>
                <w:szCs w:val="22"/>
              </w:rPr>
              <w:t>Nachweis</w:t>
            </w:r>
            <w:r w:rsidR="5F515853" w:rsidRPr="47D098FE">
              <w:rPr>
                <w:rFonts w:ascii="Arial Narrow" w:hAnsi="Arial Narrow"/>
                <w:sz w:val="22"/>
                <w:szCs w:val="22"/>
              </w:rPr>
              <w:t xml:space="preserve"> voraussetzt, für 2026 </w:t>
            </w:r>
            <w:r w:rsidR="130A7267" w:rsidRPr="47D098FE">
              <w:rPr>
                <w:rFonts w:ascii="Arial Narrow" w:hAnsi="Arial Narrow"/>
                <w:sz w:val="22"/>
                <w:szCs w:val="22"/>
              </w:rPr>
              <w:t>den NUB-Status 1 auf</w:t>
            </w:r>
            <w:r w:rsidR="5F515853" w:rsidRPr="47D098FE">
              <w:rPr>
                <w:rFonts w:ascii="Arial Narrow" w:hAnsi="Arial Narrow"/>
                <w:sz w:val="22"/>
                <w:szCs w:val="22"/>
              </w:rPr>
              <w:t>.</w:t>
            </w:r>
          </w:p>
          <w:p w14:paraId="3C7BF9F8" w14:textId="77777777" w:rsidR="00853337" w:rsidRDefault="002833CE" w:rsidP="00E0309A">
            <w:pPr>
              <w:rPr>
                <w:rFonts w:ascii="Arial Narrow" w:hAnsi="Arial Narrow"/>
                <w:sz w:val="22"/>
              </w:rPr>
            </w:pPr>
            <w:r w:rsidRPr="002833CE">
              <w:rPr>
                <w:rFonts w:ascii="Arial Narrow" w:hAnsi="Arial Narrow"/>
                <w:sz w:val="22"/>
              </w:rPr>
              <w:t>Eine vollständige Darstellung aller Therapieoptionen kann hier nicht vorgenommen werden; es werden die aus ökonomischer Sicht wesentlichen Änderungen ohne Anspruch auf Vollständigkeit beschrieben.</w:t>
            </w:r>
          </w:p>
          <w:p w14:paraId="3EC3722F" w14:textId="5C29406E" w:rsidR="006A04ED" w:rsidRPr="000605E2" w:rsidRDefault="006A04ED" w:rsidP="00E0309A">
            <w:pPr>
              <w:rPr>
                <w:rFonts w:ascii="Arial Narrow" w:hAnsi="Arial Narrow"/>
                <w:bCs/>
                <w:color w:val="00B050"/>
                <w:sz w:val="22"/>
              </w:rPr>
            </w:pPr>
          </w:p>
        </w:tc>
      </w:tr>
    </w:tbl>
    <w:p w14:paraId="073C0909"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CC85E94" w14:textId="77777777" w:rsidTr="47D098FE">
        <w:tc>
          <w:tcPr>
            <w:tcW w:w="9212" w:type="dxa"/>
          </w:tcPr>
          <w:p w14:paraId="25335173" w14:textId="77777777" w:rsidR="008E6675" w:rsidRPr="005638EB" w:rsidRDefault="008E6675" w:rsidP="00E92C57">
            <w:pPr>
              <w:rPr>
                <w:rFonts w:ascii="Arial Narrow" w:hAnsi="Arial Narrow"/>
                <w:b/>
              </w:rPr>
            </w:pPr>
            <w:r w:rsidRPr="005638EB">
              <w:rPr>
                <w:rFonts w:ascii="Arial Narrow" w:hAnsi="Arial Narrow"/>
                <w:b/>
                <w:sz w:val="22"/>
              </w:rPr>
              <w:t>Ist die Methode vollständig oder in Teilen neu und warum handelt es sich um eine neue Untersuchungs- und Behandlungsmethode?</w:t>
            </w:r>
          </w:p>
        </w:tc>
      </w:tr>
      <w:tr w:rsidR="008E6675" w:rsidRPr="005638EB" w14:paraId="402C1327" w14:textId="77777777" w:rsidTr="47D098FE">
        <w:tc>
          <w:tcPr>
            <w:tcW w:w="9212" w:type="dxa"/>
          </w:tcPr>
          <w:p w14:paraId="647977F0" w14:textId="598D93BE" w:rsidR="00D47A2E" w:rsidRPr="00D47A2E" w:rsidRDefault="2A44B59C" w:rsidP="00D25EB7">
            <w:pPr>
              <w:rPr>
                <w:rFonts w:ascii="Arial Narrow" w:hAnsi="Arial Narrow"/>
                <w:sz w:val="22"/>
                <w:szCs w:val="22"/>
              </w:rPr>
            </w:pPr>
            <w:r w:rsidRPr="47D098FE">
              <w:rPr>
                <w:rFonts w:ascii="Arial Narrow" w:hAnsi="Arial Narrow"/>
                <w:sz w:val="22"/>
                <w:szCs w:val="22"/>
              </w:rPr>
              <w:t xml:space="preserve">In den Informationen nach § 6 Abs. 2 </w:t>
            </w:r>
            <w:proofErr w:type="spellStart"/>
            <w:r w:rsidRPr="47D098FE">
              <w:rPr>
                <w:rFonts w:ascii="Arial Narrow" w:hAnsi="Arial Narrow"/>
                <w:sz w:val="22"/>
                <w:szCs w:val="22"/>
              </w:rPr>
              <w:t>KHEntgG</w:t>
            </w:r>
            <w:proofErr w:type="spellEnd"/>
            <w:r w:rsidRPr="47D098FE">
              <w:rPr>
                <w:rFonts w:ascii="Arial Narrow" w:hAnsi="Arial Narrow"/>
                <w:sz w:val="22"/>
                <w:szCs w:val="22"/>
              </w:rPr>
              <w:t xml:space="preserve"> für 2026 ist der Nachweis von ESR1-Mutationen aus </w:t>
            </w:r>
            <w:proofErr w:type="spellStart"/>
            <w:r w:rsidRPr="47D098FE">
              <w:rPr>
                <w:rFonts w:ascii="Arial Narrow" w:hAnsi="Arial Narrow"/>
                <w:sz w:val="22"/>
                <w:szCs w:val="22"/>
              </w:rPr>
              <w:t>Flüssigbiopsat</w:t>
            </w:r>
            <w:proofErr w:type="spellEnd"/>
            <w:r w:rsidRPr="47D098FE">
              <w:rPr>
                <w:rFonts w:ascii="Arial Narrow" w:hAnsi="Arial Narrow"/>
                <w:sz w:val="22"/>
                <w:szCs w:val="22"/>
              </w:rPr>
              <w:t xml:space="preserve"> mit NUB-Status 2 </w:t>
            </w:r>
            <w:r w:rsidR="006D72D3" w:rsidRPr="006D72D3">
              <w:rPr>
                <w:rFonts w:ascii="Arial Narrow" w:hAnsi="Arial Narrow"/>
                <w:sz w:val="22"/>
                <w:szCs w:val="22"/>
              </w:rPr>
              <w:t>gelistet; dieser Status bezieht sich ausschließlich auf die einmalige ESR1-Bestimmung. Für die serielle Testung im Therapieverlauf besteht bislang kein NUB-Status</w:t>
            </w:r>
            <w:r w:rsidRPr="47D098FE">
              <w:rPr>
                <w:rFonts w:ascii="Arial Narrow" w:hAnsi="Arial Narrow"/>
                <w:sz w:val="22"/>
                <w:szCs w:val="22"/>
              </w:rPr>
              <w:t>.</w:t>
            </w:r>
          </w:p>
          <w:p w14:paraId="77450403" w14:textId="6AE218EC" w:rsidR="00D47A2E" w:rsidRPr="00D47A2E" w:rsidRDefault="00BF6F41" w:rsidP="00D25EB7">
            <w:pPr>
              <w:rPr>
                <w:rFonts w:ascii="Arial Narrow" w:hAnsi="Arial Narrow"/>
                <w:sz w:val="22"/>
                <w:szCs w:val="22"/>
              </w:rPr>
            </w:pPr>
            <w:r w:rsidRPr="00BF6F41">
              <w:rPr>
                <w:rFonts w:ascii="Arial Narrow" w:hAnsi="Arial Narrow"/>
                <w:sz w:val="22"/>
                <w:szCs w:val="22"/>
              </w:rPr>
              <w:t xml:space="preserve">Camizestrant, dessen Verordnung diesen Nachweis voraussetzt, ist in der Aufstellung für 2026 nicht enthalten. Ergänzend ist </w:t>
            </w:r>
            <w:proofErr w:type="spellStart"/>
            <w:r w:rsidRPr="00BF6F41">
              <w:rPr>
                <w:rFonts w:ascii="Arial Narrow" w:hAnsi="Arial Narrow"/>
                <w:sz w:val="22"/>
                <w:szCs w:val="22"/>
              </w:rPr>
              <w:t>Elacestrant</w:t>
            </w:r>
            <w:proofErr w:type="spellEnd"/>
            <w:r w:rsidRPr="00BF6F41">
              <w:rPr>
                <w:rFonts w:ascii="Arial Narrow" w:hAnsi="Arial Narrow"/>
                <w:sz w:val="22"/>
                <w:szCs w:val="22"/>
              </w:rPr>
              <w:t xml:space="preserve">, </w:t>
            </w:r>
            <w:r w:rsidR="3C768226" w:rsidRPr="41628B7B">
              <w:rPr>
                <w:rFonts w:ascii="Arial Narrow" w:hAnsi="Arial Narrow"/>
                <w:sz w:val="22"/>
                <w:szCs w:val="22"/>
              </w:rPr>
              <w:t>das</w:t>
            </w:r>
            <w:r w:rsidR="52BCEC4F" w:rsidRPr="41628B7B">
              <w:rPr>
                <w:rFonts w:ascii="Arial Narrow" w:hAnsi="Arial Narrow"/>
                <w:sz w:val="22"/>
                <w:szCs w:val="22"/>
              </w:rPr>
              <w:t>s</w:t>
            </w:r>
            <w:r w:rsidRPr="00BF6F41">
              <w:rPr>
                <w:rFonts w:ascii="Arial Narrow" w:hAnsi="Arial Narrow"/>
                <w:sz w:val="22"/>
                <w:szCs w:val="22"/>
              </w:rPr>
              <w:t xml:space="preserve"> ebenfalls einen ESR1-Nachweis voraussetzt, mit NUB-Status 1 und 408 anfragenden Krankenhäusern geführt – die Begleitdiagnostik ist damit trotz breiter Anwendung</w:t>
            </w:r>
            <w:r w:rsidR="00D47A2E" w:rsidRPr="00D47A2E">
              <w:rPr>
                <w:rFonts w:ascii="Arial Narrow" w:hAnsi="Arial Narrow"/>
                <w:sz w:val="22"/>
                <w:szCs w:val="22"/>
              </w:rPr>
              <w:t xml:space="preserve"> nicht über ein NUB-Entgelt abgebildet.</w:t>
            </w:r>
          </w:p>
          <w:p w14:paraId="196E9A66" w14:textId="77777777" w:rsidR="00044757" w:rsidRDefault="00D47A2E" w:rsidP="00D25EB7">
            <w:pPr>
              <w:rPr>
                <w:rFonts w:ascii="Arial Narrow" w:hAnsi="Arial Narrow"/>
                <w:sz w:val="22"/>
                <w:szCs w:val="22"/>
              </w:rPr>
            </w:pPr>
            <w:r w:rsidRPr="00D47A2E">
              <w:rPr>
                <w:rFonts w:ascii="Arial Narrow" w:hAnsi="Arial Narrow"/>
                <w:sz w:val="22"/>
                <w:szCs w:val="22"/>
              </w:rPr>
              <w:t>Neu und nicht erfasst ist zudem die serielle Durchführung: Gegenstand dieser Anfrage ist nicht ein einmaliger Nachweis, sondern die wiederholte Bestimmung des ESR1-Status im Verlauf der endokrinen Therapie mit entsprechend vervielfachtem Aufwand.</w:t>
            </w:r>
          </w:p>
          <w:p w14:paraId="71B7542D" w14:textId="21731DC6" w:rsidR="002F245F" w:rsidRPr="002B78FF" w:rsidRDefault="00044757" w:rsidP="00D25EB7">
            <w:pPr>
              <w:rPr>
                <w:rFonts w:ascii="Arial Narrow" w:hAnsi="Arial Narrow"/>
                <w:sz w:val="22"/>
                <w:szCs w:val="22"/>
              </w:rPr>
            </w:pPr>
            <w:r>
              <w:rPr>
                <w:rFonts w:ascii="Arial Narrow" w:hAnsi="Arial Narrow"/>
                <w:sz w:val="22"/>
                <w:szCs w:val="22"/>
              </w:rPr>
              <w:t>Hinzu kommt, dass Camizestrant erst am 2</w:t>
            </w:r>
            <w:r w:rsidR="0032419D">
              <w:rPr>
                <w:rFonts w:ascii="Arial Narrow" w:hAnsi="Arial Narrow"/>
                <w:sz w:val="22"/>
                <w:szCs w:val="22"/>
              </w:rPr>
              <w:t>0</w:t>
            </w:r>
            <w:r>
              <w:rPr>
                <w:rFonts w:ascii="Arial Narrow" w:hAnsi="Arial Narrow"/>
                <w:sz w:val="22"/>
                <w:szCs w:val="22"/>
              </w:rPr>
              <w:t xml:space="preserve">. Juli 2026 in der EU zugelassen wurde und in den Informationen nach § 6 Abs. 2 </w:t>
            </w:r>
            <w:proofErr w:type="spellStart"/>
            <w:r>
              <w:rPr>
                <w:rFonts w:ascii="Arial Narrow" w:hAnsi="Arial Narrow"/>
                <w:sz w:val="22"/>
                <w:szCs w:val="22"/>
              </w:rPr>
              <w:t>KHEntgG</w:t>
            </w:r>
            <w:proofErr w:type="spellEnd"/>
            <w:r>
              <w:rPr>
                <w:rFonts w:ascii="Arial Narrow" w:hAnsi="Arial Narrow"/>
                <w:sz w:val="22"/>
                <w:szCs w:val="22"/>
              </w:rPr>
              <w:t xml:space="preserve"> für 2026 daher überhaupt nicht enthalten ist. Die zugelassene Indikation verlangt den Nachweis einer ESR1-Mutation ohne Krankheitsprogression und setzt damit ein serielles Testregime voraus, das zum Zeitpunkt der Aufstellung noch nicht abbildbar war.</w:t>
            </w:r>
          </w:p>
          <w:p w14:paraId="6B1FDB47" w14:textId="458A2DA1" w:rsidR="00D25EB7" w:rsidRPr="001E068E" w:rsidRDefault="006269A7" w:rsidP="00D25EB7">
            <w:pPr>
              <w:rPr>
                <w:rFonts w:ascii="Arial Narrow" w:hAnsi="Arial Narrow"/>
                <w:highlight w:val="red"/>
              </w:rPr>
            </w:pPr>
            <w:r w:rsidRPr="006269A7">
              <w:rPr>
                <w:rFonts w:ascii="Arial Narrow" w:hAnsi="Arial Narrow"/>
                <w:sz w:val="22"/>
                <w:szCs w:val="22"/>
              </w:rPr>
              <w:t xml:space="preserve">Damit handelt es sich um eine neue Untersuchungsmethode im Sinne des § 6 Abs. 2 </w:t>
            </w:r>
            <w:proofErr w:type="spellStart"/>
            <w:r w:rsidRPr="006269A7">
              <w:rPr>
                <w:rFonts w:ascii="Arial Narrow" w:hAnsi="Arial Narrow"/>
                <w:sz w:val="22"/>
                <w:szCs w:val="22"/>
              </w:rPr>
              <w:t>KHEntgG</w:t>
            </w:r>
            <w:proofErr w:type="spellEnd"/>
            <w:r w:rsidRPr="006269A7">
              <w:rPr>
                <w:rFonts w:ascii="Arial Narrow" w:hAnsi="Arial Narrow"/>
                <w:sz w:val="22"/>
                <w:szCs w:val="22"/>
              </w:rPr>
              <w:t>.</w:t>
            </w:r>
          </w:p>
        </w:tc>
      </w:tr>
    </w:tbl>
    <w:p w14:paraId="75E7896B"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A2055" w14:textId="77777777">
        <w:tc>
          <w:tcPr>
            <w:tcW w:w="9212" w:type="dxa"/>
          </w:tcPr>
          <w:p w14:paraId="4E8FCE4C" w14:textId="77777777" w:rsidR="008E6675" w:rsidRPr="005638EB" w:rsidRDefault="008E6675" w:rsidP="005638EB">
            <w:pPr>
              <w:rPr>
                <w:rFonts w:ascii="Arial Narrow" w:hAnsi="Arial Narrow"/>
                <w:b/>
              </w:rPr>
            </w:pPr>
            <w:r w:rsidRPr="005638EB">
              <w:rPr>
                <w:rFonts w:ascii="Arial Narrow" w:hAnsi="Arial Narrow"/>
                <w:b/>
                <w:sz w:val="22"/>
              </w:rPr>
              <w:t>Welche Auswirkungen hat die Methode auf die Verweildauer im Krankenhaus?</w:t>
            </w:r>
          </w:p>
        </w:tc>
      </w:tr>
      <w:tr w:rsidR="008E6675" w:rsidRPr="005638EB" w14:paraId="5C15DE82" w14:textId="77777777">
        <w:trPr>
          <w:trHeight w:val="264"/>
        </w:trPr>
        <w:tc>
          <w:tcPr>
            <w:tcW w:w="9212" w:type="dxa"/>
          </w:tcPr>
          <w:p w14:paraId="19E75E35" w14:textId="49E3F88B" w:rsidR="00A530BE" w:rsidRPr="005638EB" w:rsidRDefault="008E6675" w:rsidP="005638EB">
            <w:pPr>
              <w:rPr>
                <w:rFonts w:ascii="Arial Narrow" w:hAnsi="Arial Narrow"/>
              </w:rPr>
            </w:pPr>
            <w:r w:rsidRPr="005638EB">
              <w:rPr>
                <w:rFonts w:ascii="Arial Narrow" w:hAnsi="Arial Narrow"/>
                <w:sz w:val="22"/>
              </w:rPr>
              <w:t>Zur Veränderung der Verweildauer im Krankenhaus können derzeit aufgrund fehlender Erfahrungen keine Aussagen gemacht werden.</w:t>
            </w:r>
          </w:p>
        </w:tc>
      </w:tr>
    </w:tbl>
    <w:p w14:paraId="4E061776"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BCFFEC8" w14:textId="77777777">
        <w:tc>
          <w:tcPr>
            <w:tcW w:w="9212" w:type="dxa"/>
          </w:tcPr>
          <w:p w14:paraId="5ABEFBD5" w14:textId="77777777" w:rsidR="008E6675" w:rsidRPr="005638EB" w:rsidRDefault="008E6675" w:rsidP="005638EB">
            <w:pPr>
              <w:rPr>
                <w:rFonts w:ascii="Arial Narrow" w:hAnsi="Arial Narrow"/>
                <w:b/>
              </w:rPr>
            </w:pPr>
            <w:r w:rsidRPr="005638EB">
              <w:rPr>
                <w:rFonts w:ascii="Arial Narrow" w:hAnsi="Arial Narrow"/>
                <w:b/>
                <w:sz w:val="22"/>
              </w:rPr>
              <w:t>Wann wurde diese Methode in Deutschland eingeführt?</w:t>
            </w:r>
          </w:p>
        </w:tc>
      </w:tr>
      <w:tr w:rsidR="008E6675" w:rsidRPr="007F255B" w14:paraId="0DF8F781" w14:textId="77777777">
        <w:tc>
          <w:tcPr>
            <w:tcW w:w="9212" w:type="dxa"/>
          </w:tcPr>
          <w:p w14:paraId="3F0AEAEE" w14:textId="23241D28" w:rsidR="00BF6F41" w:rsidRPr="00BF6F41" w:rsidRDefault="00BF6F41" w:rsidP="00CC3906">
            <w:pPr>
              <w:rPr>
                <w:rFonts w:ascii="Arial Narrow" w:hAnsi="Arial Narrow"/>
                <w:sz w:val="22"/>
                <w:szCs w:val="22"/>
              </w:rPr>
            </w:pPr>
            <w:r w:rsidRPr="7D3BF155">
              <w:rPr>
                <w:rFonts w:ascii="Arial Narrow" w:hAnsi="Arial Narrow"/>
                <w:sz w:val="22"/>
                <w:szCs w:val="22"/>
              </w:rPr>
              <w:lastRenderedPageBreak/>
              <w:t>Die serielle ESR1-Bestimmung wurde mit der Zulassung von Camizestrant durch die Europäische Kommission am 2</w:t>
            </w:r>
            <w:r w:rsidR="00D3071D">
              <w:rPr>
                <w:rFonts w:ascii="Arial Narrow" w:hAnsi="Arial Narrow"/>
                <w:sz w:val="22"/>
                <w:szCs w:val="22"/>
              </w:rPr>
              <w:t>0</w:t>
            </w:r>
            <w:r w:rsidRPr="7D3BF155">
              <w:rPr>
                <w:rFonts w:ascii="Arial Narrow" w:hAnsi="Arial Narrow"/>
                <w:sz w:val="22"/>
                <w:szCs w:val="22"/>
              </w:rPr>
              <w:t xml:space="preserve">. Juli 2026 eingeführt. Da die zugelassene Indikation den Nachweis einer ESR1-Mutation ohne Krankheitsprogression verlangt, ist das in der Phase-III-Studie SERENA-6 geprüfte </w:t>
            </w:r>
            <w:proofErr w:type="spellStart"/>
            <w:r w:rsidRPr="7D3BF155">
              <w:rPr>
                <w:rFonts w:ascii="Arial Narrow" w:hAnsi="Arial Narrow"/>
                <w:sz w:val="22"/>
                <w:szCs w:val="22"/>
              </w:rPr>
              <w:t>ctDNA</w:t>
            </w:r>
            <w:proofErr w:type="spellEnd"/>
            <w:r w:rsidRPr="7D3BF155">
              <w:rPr>
                <w:rFonts w:ascii="Arial Narrow" w:hAnsi="Arial Narrow"/>
                <w:sz w:val="22"/>
                <w:szCs w:val="22"/>
              </w:rPr>
              <w:t>-gesteuerte Testkonzept damit in eine zugelassene Indikation überführt worden.</w:t>
            </w:r>
          </w:p>
          <w:p w14:paraId="6A943565" w14:textId="46EF5AC4" w:rsidR="00BF6F41" w:rsidRPr="00BF6F41" w:rsidRDefault="00BF6F41" w:rsidP="00CC3906">
            <w:pPr>
              <w:rPr>
                <w:rFonts w:ascii="Arial Narrow" w:hAnsi="Arial Narrow"/>
                <w:sz w:val="22"/>
                <w:szCs w:val="22"/>
              </w:rPr>
            </w:pPr>
            <w:r w:rsidRPr="6A07F28D">
              <w:rPr>
                <w:rFonts w:ascii="Arial Narrow" w:hAnsi="Arial Narrow"/>
                <w:sz w:val="22"/>
                <w:szCs w:val="22"/>
              </w:rPr>
              <w:t xml:space="preserve">Die ESR1-Testung als solche </w:t>
            </w:r>
            <w:r w:rsidR="001354E4" w:rsidRPr="6A07F28D">
              <w:rPr>
                <w:rFonts w:ascii="Arial Narrow" w:hAnsi="Arial Narrow"/>
                <w:sz w:val="22"/>
                <w:szCs w:val="22"/>
              </w:rPr>
              <w:t xml:space="preserve">ist </w:t>
            </w:r>
            <w:r w:rsidRPr="6A07F28D">
              <w:rPr>
                <w:rFonts w:ascii="Arial Narrow" w:hAnsi="Arial Narrow"/>
                <w:sz w:val="22"/>
                <w:szCs w:val="22"/>
              </w:rPr>
              <w:t xml:space="preserve">bereits etabliert: </w:t>
            </w:r>
            <w:r w:rsidR="00F72210" w:rsidRPr="00F72210">
              <w:rPr>
                <w:rFonts w:ascii="Arial Narrow" w:hAnsi="Arial Narrow"/>
                <w:sz w:val="22"/>
                <w:szCs w:val="22"/>
              </w:rPr>
              <w:t>Mit der Zulassung von</w:t>
            </w:r>
            <w:r w:rsidRPr="6A07F28D">
              <w:rPr>
                <w:rFonts w:ascii="Arial Narrow" w:hAnsi="Arial Narrow"/>
                <w:sz w:val="22"/>
                <w:szCs w:val="22"/>
              </w:rPr>
              <w:t xml:space="preserve"> </w:t>
            </w:r>
            <w:proofErr w:type="spellStart"/>
            <w:r w:rsidRPr="6A07F28D">
              <w:rPr>
                <w:rFonts w:ascii="Arial Narrow" w:hAnsi="Arial Narrow"/>
                <w:sz w:val="22"/>
                <w:szCs w:val="22"/>
              </w:rPr>
              <w:t>Elacestrant</w:t>
            </w:r>
            <w:proofErr w:type="spellEnd"/>
            <w:r w:rsidRPr="6A07F28D">
              <w:rPr>
                <w:rFonts w:ascii="Arial Narrow" w:hAnsi="Arial Narrow"/>
                <w:sz w:val="22"/>
                <w:szCs w:val="22"/>
              </w:rPr>
              <w:t xml:space="preserve"> im September 2023 </w:t>
            </w:r>
            <w:r w:rsidR="00F72210" w:rsidRPr="00F72210">
              <w:rPr>
                <w:rFonts w:ascii="Arial Narrow" w:hAnsi="Arial Narrow"/>
                <w:sz w:val="22"/>
                <w:szCs w:val="22"/>
              </w:rPr>
              <w:t>wurde</w:t>
            </w:r>
            <w:r w:rsidRPr="6A07F28D">
              <w:rPr>
                <w:rFonts w:ascii="Arial Narrow" w:hAnsi="Arial Narrow"/>
                <w:sz w:val="22"/>
                <w:szCs w:val="22"/>
              </w:rPr>
              <w:t xml:space="preserve"> der Nachweis einer aktivierenden ESR1-Mutation </w:t>
            </w:r>
            <w:r w:rsidR="00DA6477" w:rsidRPr="00DA6477">
              <w:rPr>
                <w:rFonts w:ascii="Arial Narrow" w:hAnsi="Arial Narrow"/>
                <w:sz w:val="22"/>
                <w:szCs w:val="22"/>
              </w:rPr>
              <w:t xml:space="preserve">Voraussetzung der Therapieentscheidung; die ESR1-Testung aus Liquid </w:t>
            </w:r>
            <w:proofErr w:type="spellStart"/>
            <w:r w:rsidR="00DA6477" w:rsidRPr="00DA6477">
              <w:rPr>
                <w:rFonts w:ascii="Arial Narrow" w:hAnsi="Arial Narrow"/>
                <w:sz w:val="22"/>
                <w:szCs w:val="22"/>
              </w:rPr>
              <w:t>Biopsy</w:t>
            </w:r>
            <w:proofErr w:type="spellEnd"/>
            <w:r w:rsidR="00DA6477" w:rsidRPr="00DA6477">
              <w:rPr>
                <w:rFonts w:ascii="Arial Narrow" w:hAnsi="Arial Narrow"/>
                <w:sz w:val="22"/>
                <w:szCs w:val="22"/>
              </w:rPr>
              <w:t xml:space="preserve"> wurde im Juli 2024 in den EBM aufgenommen. Hierbei handelt es sich jedoch um die Bestimmung des ESR1-Status zur Therapieentscheidung bei bestehender Indikation. Gegenstand der vorliegenden Anfrage ist demgegenüber die wiederholte ESR1-Testung im Verlauf einer laufenden Therapie zur Erkennung neu auftretender Resistenzmutationen</w:t>
            </w:r>
            <w:r w:rsidRPr="6A07F28D">
              <w:rPr>
                <w:rFonts w:ascii="Arial Narrow" w:hAnsi="Arial Narrow"/>
                <w:sz w:val="22"/>
                <w:szCs w:val="22"/>
              </w:rPr>
              <w:t>.</w:t>
            </w:r>
          </w:p>
          <w:p w14:paraId="256E27C8" w14:textId="4DB61A16" w:rsidR="00D14350" w:rsidRPr="00422874" w:rsidRDefault="003D3FBF" w:rsidP="00CC3906">
            <w:pPr>
              <w:rPr>
                <w:rFonts w:ascii="Arial Narrow" w:hAnsi="Arial Narrow"/>
                <w:sz w:val="22"/>
              </w:rPr>
            </w:pPr>
            <w:r w:rsidRPr="003D3FBF">
              <w:rPr>
                <w:rFonts w:ascii="Arial Narrow" w:hAnsi="Arial Narrow"/>
                <w:sz w:val="22"/>
              </w:rPr>
              <w:t>Dies</w:t>
            </w:r>
            <w:r w:rsidR="00BF6F41" w:rsidRPr="00BF6F41">
              <w:rPr>
                <w:rFonts w:ascii="Arial Narrow" w:hAnsi="Arial Narrow"/>
                <w:sz w:val="22"/>
              </w:rPr>
              <w:t>e wiederholte Bestimmung ist in Deutschland bisher nicht regelhaft etabliert und seit Juli 2026 erforderlich, um den zugelassenen Anwendungszeitpunkt von Camizestrant überhaupt zu erkennen.</w:t>
            </w:r>
          </w:p>
        </w:tc>
      </w:tr>
    </w:tbl>
    <w:p w14:paraId="233BCD28"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956DB" w14:textId="77777777">
        <w:tc>
          <w:tcPr>
            <w:tcW w:w="9212" w:type="dxa"/>
          </w:tcPr>
          <w:p w14:paraId="483A4156" w14:textId="77777777" w:rsidR="008E6675" w:rsidRPr="005638EB" w:rsidRDefault="008E6675" w:rsidP="005638EB">
            <w:pPr>
              <w:rPr>
                <w:rFonts w:ascii="Arial Narrow" w:hAnsi="Arial Narrow"/>
                <w:b/>
              </w:rPr>
            </w:pPr>
            <w:r w:rsidRPr="005638EB">
              <w:rPr>
                <w:rFonts w:ascii="Arial Narrow" w:hAnsi="Arial Narrow"/>
                <w:b/>
                <w:sz w:val="22"/>
              </w:rPr>
              <w:t>Bei Medikamenten: Wann wurde dieses Medikament zugelassen?</w:t>
            </w:r>
          </w:p>
        </w:tc>
      </w:tr>
      <w:tr w:rsidR="008E6675" w:rsidRPr="007F255B" w14:paraId="1264FF24" w14:textId="77777777">
        <w:tc>
          <w:tcPr>
            <w:tcW w:w="9212" w:type="dxa"/>
          </w:tcPr>
          <w:p w14:paraId="7BB60EDC" w14:textId="5B6B867A" w:rsidR="00044597" w:rsidRPr="00A37BF7" w:rsidRDefault="00A37BF7" w:rsidP="00C112A6">
            <w:pPr>
              <w:rPr>
                <w:rFonts w:ascii="Arial Narrow" w:hAnsi="Arial Narrow"/>
                <w:sz w:val="22"/>
              </w:rPr>
            </w:pPr>
            <w:r w:rsidRPr="00A37BF7">
              <w:rPr>
                <w:rFonts w:ascii="Arial Narrow" w:hAnsi="Arial Narrow"/>
                <w:sz w:val="22"/>
                <w:highlight w:val="yellow"/>
              </w:rPr>
              <w:t>entfällt</w:t>
            </w:r>
          </w:p>
        </w:tc>
      </w:tr>
    </w:tbl>
    <w:p w14:paraId="479CCD3D"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4374391" w14:textId="77777777">
        <w:tc>
          <w:tcPr>
            <w:tcW w:w="9212" w:type="dxa"/>
          </w:tcPr>
          <w:p w14:paraId="657A69BC" w14:textId="77777777" w:rsidR="008E6675" w:rsidRPr="005638EB" w:rsidRDefault="008E6675" w:rsidP="005638EB">
            <w:pPr>
              <w:rPr>
                <w:rFonts w:ascii="Arial Narrow" w:hAnsi="Arial Narrow"/>
                <w:b/>
              </w:rPr>
            </w:pPr>
            <w:r w:rsidRPr="005638EB">
              <w:rPr>
                <w:rFonts w:ascii="Arial Narrow" w:hAnsi="Arial Narrow"/>
                <w:b/>
                <w:sz w:val="22"/>
              </w:rPr>
              <w:t xml:space="preserve">Wann wurde </w:t>
            </w:r>
            <w:r w:rsidR="002333FF">
              <w:rPr>
                <w:rFonts w:ascii="Arial Narrow" w:hAnsi="Arial Narrow"/>
                <w:b/>
                <w:sz w:val="22"/>
              </w:rPr>
              <w:t xml:space="preserve">bzw. wird </w:t>
            </w:r>
            <w:r w:rsidRPr="005638EB">
              <w:rPr>
                <w:rFonts w:ascii="Arial Narrow" w:hAnsi="Arial Narrow"/>
                <w:b/>
                <w:sz w:val="22"/>
              </w:rPr>
              <w:t>die Methode in Ihrem Krankenhaus eingeführt?</w:t>
            </w:r>
          </w:p>
        </w:tc>
      </w:tr>
      <w:tr w:rsidR="008E6675" w:rsidRPr="005638EB" w14:paraId="4BC61AB6" w14:textId="77777777">
        <w:tc>
          <w:tcPr>
            <w:tcW w:w="9212" w:type="dxa"/>
          </w:tcPr>
          <w:p w14:paraId="7727C539" w14:textId="77777777" w:rsidR="008E6675" w:rsidRPr="005638EB" w:rsidRDefault="00983554" w:rsidP="005638EB">
            <w:pPr>
              <w:rPr>
                <w:rFonts w:ascii="Arial Narrow" w:hAnsi="Arial Narrow"/>
              </w:rPr>
            </w:pPr>
            <w:r w:rsidRPr="00983554">
              <w:rPr>
                <w:rFonts w:ascii="Arial Narrow" w:hAnsi="Arial Narrow"/>
                <w:sz w:val="22"/>
                <w:highlight w:val="yellow"/>
              </w:rPr>
              <w:t>[bitte ergänzen]</w:t>
            </w:r>
          </w:p>
        </w:tc>
      </w:tr>
    </w:tbl>
    <w:p w14:paraId="09FB8D7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D6635CC" w14:textId="77777777" w:rsidTr="47D098FE">
        <w:tc>
          <w:tcPr>
            <w:tcW w:w="9212" w:type="dxa"/>
          </w:tcPr>
          <w:p w14:paraId="126EBD70" w14:textId="77777777" w:rsidR="008E6675" w:rsidRPr="005638EB" w:rsidRDefault="008E6675" w:rsidP="005638EB">
            <w:pPr>
              <w:rPr>
                <w:rFonts w:ascii="Arial Narrow" w:hAnsi="Arial Narrow"/>
                <w:b/>
              </w:rPr>
            </w:pPr>
            <w:r w:rsidRPr="005638EB">
              <w:rPr>
                <w:rFonts w:ascii="Arial Narrow" w:hAnsi="Arial Narrow"/>
                <w:b/>
                <w:sz w:val="22"/>
              </w:rPr>
              <w:t>In wie vielen Kliniken wird diese Methode derzeit eingesetzt (Schätzung)?</w:t>
            </w:r>
          </w:p>
        </w:tc>
      </w:tr>
      <w:tr w:rsidR="008E6675" w:rsidRPr="005638EB" w14:paraId="4C00526F" w14:textId="77777777" w:rsidTr="47D098FE">
        <w:tc>
          <w:tcPr>
            <w:tcW w:w="9212" w:type="dxa"/>
          </w:tcPr>
          <w:p w14:paraId="21DD9094" w14:textId="50288C3A" w:rsidR="00C112A6" w:rsidRPr="005638EB" w:rsidRDefault="34AB1F0B" w:rsidP="00B20F58">
            <w:pPr>
              <w:rPr>
                <w:rFonts w:ascii="Arial Narrow" w:hAnsi="Arial Narrow"/>
              </w:rPr>
            </w:pPr>
            <w:r w:rsidRPr="47D098FE">
              <w:rPr>
                <w:rFonts w:ascii="Arial Narrow" w:hAnsi="Arial Narrow"/>
                <w:sz w:val="22"/>
                <w:szCs w:val="22"/>
              </w:rPr>
              <w:t xml:space="preserve">408 Kliniken in Deutschland planen den Einsatz von </w:t>
            </w:r>
            <w:proofErr w:type="spellStart"/>
            <w:r w:rsidRPr="47D098FE">
              <w:rPr>
                <w:rFonts w:ascii="Arial Narrow" w:hAnsi="Arial Narrow"/>
                <w:sz w:val="22"/>
                <w:szCs w:val="22"/>
              </w:rPr>
              <w:t>Elacestrant</w:t>
            </w:r>
            <w:proofErr w:type="spellEnd"/>
            <w:r w:rsidRPr="47D098FE">
              <w:rPr>
                <w:rFonts w:ascii="Arial Narrow" w:hAnsi="Arial Narrow"/>
                <w:sz w:val="22"/>
                <w:szCs w:val="22"/>
              </w:rPr>
              <w:t xml:space="preserve"> (Schätzung aufgrund der NUB-Anfragen des Vorjahres) und benötigen die zugehörige ESR1-Diagnostik. </w:t>
            </w:r>
            <w:r w:rsidR="007E12A3" w:rsidRPr="007E12A3">
              <w:rPr>
                <w:rFonts w:ascii="Arial Narrow" w:hAnsi="Arial Narrow"/>
                <w:sz w:val="22"/>
                <w:szCs w:val="22"/>
              </w:rPr>
              <w:t>Eine serielle</w:t>
            </w:r>
            <w:r w:rsidRPr="47D098FE">
              <w:rPr>
                <w:rFonts w:ascii="Arial Narrow" w:hAnsi="Arial Narrow"/>
                <w:sz w:val="22"/>
                <w:szCs w:val="22"/>
              </w:rPr>
              <w:t xml:space="preserve"> ESR1-</w:t>
            </w:r>
            <w:r w:rsidR="007E12A3" w:rsidRPr="007E12A3">
              <w:rPr>
                <w:rFonts w:ascii="Arial Narrow" w:hAnsi="Arial Narrow"/>
                <w:sz w:val="22"/>
                <w:szCs w:val="22"/>
              </w:rPr>
              <w:t>Testung im Therapieverlauf ist in der</w:t>
            </w:r>
            <w:r w:rsidRPr="47D098FE">
              <w:rPr>
                <w:rFonts w:ascii="Arial Narrow" w:hAnsi="Arial Narrow"/>
                <w:sz w:val="22"/>
                <w:szCs w:val="22"/>
              </w:rPr>
              <w:t xml:space="preserve"> Aufstellung für 2026 </w:t>
            </w:r>
            <w:r w:rsidR="007E12A3" w:rsidRPr="007E12A3">
              <w:rPr>
                <w:rFonts w:ascii="Arial Narrow" w:hAnsi="Arial Narrow"/>
                <w:sz w:val="22"/>
                <w:szCs w:val="22"/>
              </w:rPr>
              <w:t>bislang nicht abgebildet</w:t>
            </w:r>
            <w:r w:rsidR="727630E9" w:rsidRPr="47D098FE">
              <w:rPr>
                <w:rFonts w:ascii="Arial Narrow" w:hAnsi="Arial Narrow"/>
                <w:sz w:val="22"/>
                <w:szCs w:val="22"/>
              </w:rPr>
              <w:t>.</w:t>
            </w:r>
          </w:p>
        </w:tc>
      </w:tr>
    </w:tbl>
    <w:p w14:paraId="43674FE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BCF6BA3" w14:textId="77777777">
        <w:tc>
          <w:tcPr>
            <w:tcW w:w="9212" w:type="dxa"/>
          </w:tcPr>
          <w:p w14:paraId="6D713A1D" w14:textId="0D5B1E11" w:rsidR="008E6675" w:rsidRPr="005638EB" w:rsidRDefault="008E6675" w:rsidP="00285AE4">
            <w:pPr>
              <w:rPr>
                <w:rFonts w:ascii="Arial Narrow" w:hAnsi="Arial Narrow"/>
              </w:rPr>
            </w:pPr>
            <w:r w:rsidRPr="008C1686">
              <w:rPr>
                <w:rFonts w:ascii="Arial Narrow" w:hAnsi="Arial Narrow"/>
                <w:b/>
                <w:sz w:val="22"/>
              </w:rPr>
              <w:t>Wie viele Patienten wur</w:t>
            </w:r>
            <w:r w:rsidR="000953D2">
              <w:rPr>
                <w:rFonts w:ascii="Arial Narrow" w:hAnsi="Arial Narrow"/>
                <w:b/>
                <w:sz w:val="22"/>
              </w:rPr>
              <w:t>den in Ihrem Krankenhaus in 202</w:t>
            </w:r>
            <w:r w:rsidR="00BC47BA">
              <w:rPr>
                <w:rFonts w:ascii="Arial Narrow" w:hAnsi="Arial Narrow"/>
                <w:b/>
                <w:sz w:val="22"/>
              </w:rPr>
              <w:t>5</w:t>
            </w:r>
            <w:r w:rsidR="000953D2">
              <w:rPr>
                <w:rFonts w:ascii="Arial Narrow" w:hAnsi="Arial Narrow"/>
                <w:b/>
                <w:sz w:val="22"/>
              </w:rPr>
              <w:t xml:space="preserve"> oder in 202</w:t>
            </w:r>
            <w:r w:rsidR="003E21E9">
              <w:rPr>
                <w:rFonts w:ascii="Arial Narrow" w:hAnsi="Arial Narrow"/>
                <w:b/>
                <w:sz w:val="22"/>
              </w:rPr>
              <w:t>6</w:t>
            </w:r>
            <w:r w:rsidRPr="008C1686">
              <w:rPr>
                <w:rFonts w:ascii="Arial Narrow" w:hAnsi="Arial Narrow"/>
                <w:b/>
                <w:sz w:val="22"/>
              </w:rPr>
              <w:t xml:space="preserve"> mit dieser Methode behandelt?</w:t>
            </w:r>
          </w:p>
        </w:tc>
      </w:tr>
      <w:tr w:rsidR="008E6675" w:rsidRPr="00AB10BF" w14:paraId="5CCFBAD3" w14:textId="77777777">
        <w:tc>
          <w:tcPr>
            <w:tcW w:w="9212" w:type="dxa"/>
          </w:tcPr>
          <w:p w14:paraId="4F6124DB" w14:textId="7B9D37EE"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1073E2">
              <w:rPr>
                <w:rFonts w:ascii="Arial Narrow" w:hAnsi="Arial Narrow"/>
                <w:sz w:val="22"/>
              </w:rPr>
              <w:t>5</w:t>
            </w:r>
          </w:p>
        </w:tc>
      </w:tr>
      <w:tr w:rsidR="00983554" w:rsidRPr="005638EB" w14:paraId="1992E6A2" w14:textId="77777777">
        <w:tc>
          <w:tcPr>
            <w:tcW w:w="9212" w:type="dxa"/>
          </w:tcPr>
          <w:p w14:paraId="283F259E"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r w:rsidR="008E6675" w:rsidRPr="00AB10BF" w14:paraId="175E4977" w14:textId="77777777">
        <w:tc>
          <w:tcPr>
            <w:tcW w:w="9212" w:type="dxa"/>
          </w:tcPr>
          <w:p w14:paraId="33A68C3A" w14:textId="5977A9C8"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970724">
              <w:rPr>
                <w:rFonts w:ascii="Arial Narrow" w:hAnsi="Arial Narrow"/>
                <w:sz w:val="22"/>
              </w:rPr>
              <w:t>6</w:t>
            </w:r>
          </w:p>
        </w:tc>
      </w:tr>
      <w:tr w:rsidR="00983554" w:rsidRPr="005638EB" w14:paraId="6BABCFC8" w14:textId="77777777">
        <w:tc>
          <w:tcPr>
            <w:tcW w:w="9212" w:type="dxa"/>
          </w:tcPr>
          <w:p w14:paraId="17351D25"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394F267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9B8805A" w14:textId="77777777">
        <w:tc>
          <w:tcPr>
            <w:tcW w:w="9212" w:type="dxa"/>
          </w:tcPr>
          <w:p w14:paraId="2C8371FB" w14:textId="5EB95577" w:rsidR="008E6675" w:rsidRPr="005638EB" w:rsidRDefault="008E6675" w:rsidP="00285AE4">
            <w:pPr>
              <w:rPr>
                <w:rFonts w:ascii="Arial Narrow" w:hAnsi="Arial Narrow"/>
              </w:rPr>
            </w:pPr>
            <w:proofErr w:type="spellStart"/>
            <w:r w:rsidRPr="008C1686">
              <w:rPr>
                <w:rFonts w:ascii="Arial Narrow" w:hAnsi="Arial Narrow"/>
                <w:b/>
                <w:sz w:val="22"/>
              </w:rPr>
              <w:t>Wieviele</w:t>
            </w:r>
            <w:proofErr w:type="spellEnd"/>
            <w:r w:rsidRPr="008C1686">
              <w:rPr>
                <w:rFonts w:ascii="Arial Narrow" w:hAnsi="Arial Narrow"/>
                <w:b/>
                <w:sz w:val="22"/>
              </w:rPr>
              <w:t xml:space="preserve"> P</w:t>
            </w:r>
            <w:r w:rsidR="00A530BE">
              <w:rPr>
                <w:rFonts w:ascii="Arial Narrow" w:hAnsi="Arial Narrow"/>
                <w:b/>
                <w:sz w:val="22"/>
              </w:rPr>
              <w:t>atienten planen Sie im Jahr 20</w:t>
            </w:r>
            <w:r w:rsidR="000953D2">
              <w:rPr>
                <w:rFonts w:ascii="Arial Narrow" w:hAnsi="Arial Narrow"/>
                <w:b/>
                <w:sz w:val="22"/>
              </w:rPr>
              <w:t>2</w:t>
            </w:r>
            <w:r w:rsidR="00F75470">
              <w:rPr>
                <w:rFonts w:ascii="Arial Narrow" w:hAnsi="Arial Narrow"/>
                <w:b/>
                <w:sz w:val="22"/>
              </w:rPr>
              <w:t>7</w:t>
            </w:r>
            <w:r w:rsidRPr="008C1686">
              <w:rPr>
                <w:rFonts w:ascii="Arial Narrow" w:hAnsi="Arial Narrow"/>
                <w:b/>
                <w:sz w:val="22"/>
              </w:rPr>
              <w:t xml:space="preserve"> mit dieser Methode zu behandeln?</w:t>
            </w:r>
          </w:p>
        </w:tc>
      </w:tr>
      <w:tr w:rsidR="00983554" w:rsidRPr="005638EB" w14:paraId="742C5EF0" w14:textId="77777777">
        <w:tc>
          <w:tcPr>
            <w:tcW w:w="9212" w:type="dxa"/>
          </w:tcPr>
          <w:p w14:paraId="4620D230"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654325C8"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4A6A805" w14:textId="77777777" w:rsidTr="47D098FE">
        <w:tc>
          <w:tcPr>
            <w:tcW w:w="9212" w:type="dxa"/>
          </w:tcPr>
          <w:p w14:paraId="5C0D4897" w14:textId="77777777" w:rsidR="008E6675" w:rsidRPr="005638EB" w:rsidRDefault="008E6675" w:rsidP="005638EB">
            <w:pPr>
              <w:rPr>
                <w:rFonts w:ascii="Arial Narrow" w:hAnsi="Arial Narrow"/>
              </w:rPr>
            </w:pPr>
            <w:r w:rsidRPr="008C1686">
              <w:rPr>
                <w:rFonts w:ascii="Arial Narrow" w:hAnsi="Arial Narrow"/>
                <w:b/>
                <w:sz w:val="22"/>
              </w:rPr>
              <w:t>Entstehen durch die neue Methode Mehrkosten gegenüber dem bisher üblichen Verfahren? Wenn ja, wodurch? In welcher Höhe (möglichst aufgetrennt nach Personal- und Sachkosten)?</w:t>
            </w:r>
          </w:p>
        </w:tc>
      </w:tr>
      <w:tr w:rsidR="008E6675" w:rsidRPr="005638EB" w14:paraId="169DFC57" w14:textId="77777777" w:rsidTr="47D098FE">
        <w:tc>
          <w:tcPr>
            <w:tcW w:w="9212" w:type="dxa"/>
          </w:tcPr>
          <w:p w14:paraId="49C36D9C" w14:textId="77777777" w:rsidR="00F21C24" w:rsidRPr="003D20B9" w:rsidRDefault="00F21C24" w:rsidP="00AA09B6">
            <w:pPr>
              <w:rPr>
                <w:rFonts w:ascii="Arial Narrow" w:hAnsi="Arial Narrow"/>
                <w:sz w:val="22"/>
              </w:rPr>
            </w:pPr>
            <w:r w:rsidRPr="003D20B9">
              <w:rPr>
                <w:rFonts w:ascii="Arial Narrow" w:hAnsi="Arial Narrow"/>
                <w:sz w:val="22"/>
              </w:rPr>
              <w:t>Je nach eingesetztem bzw. in der Klinik vorhandenem molekularpathologischem Testgerät (digitale PCR, Sequenzierungssystem, Auslastung etc.) können die Kosten unterschiedlich ausfallen.</w:t>
            </w:r>
          </w:p>
          <w:p w14:paraId="0DACE022" w14:textId="3A2BEE56" w:rsidR="00F21C24" w:rsidRPr="003D20B9" w:rsidRDefault="00F21C24" w:rsidP="00AA09B6">
            <w:pPr>
              <w:rPr>
                <w:rFonts w:ascii="Arial Narrow" w:hAnsi="Arial Narrow"/>
                <w:sz w:val="22"/>
              </w:rPr>
            </w:pPr>
            <w:r w:rsidRPr="003D20B9">
              <w:rPr>
                <w:rFonts w:ascii="Arial Narrow" w:hAnsi="Arial Narrow"/>
                <w:sz w:val="22"/>
              </w:rPr>
              <w:t xml:space="preserve">Maßgeblich für die Mehrkosten ist die Zahl der Untersuchungszeitpunkte: In der Phase-III-Studie SERENA-6 erfolgte die ESR1-Bestimmung alle zwei bis drei Monate parallel zur </w:t>
            </w:r>
            <w:proofErr w:type="spellStart"/>
            <w:r w:rsidRPr="003D20B9">
              <w:rPr>
                <w:rFonts w:ascii="Arial Narrow" w:hAnsi="Arial Narrow"/>
                <w:sz w:val="22"/>
              </w:rPr>
              <w:t>Routinebildgebung</w:t>
            </w:r>
            <w:proofErr w:type="spellEnd"/>
            <w:r w:rsidRPr="003D20B9">
              <w:rPr>
                <w:rFonts w:ascii="Arial Narrow" w:hAnsi="Arial Narrow"/>
                <w:sz w:val="22"/>
              </w:rPr>
              <w:t>.</w:t>
            </w:r>
          </w:p>
          <w:p w14:paraId="012403CF" w14:textId="3E986483" w:rsidR="00777897" w:rsidRDefault="00F21C24" w:rsidP="00AA09B6">
            <w:pPr>
              <w:rPr>
                <w:rFonts w:ascii="Arial Narrow" w:hAnsi="Arial Narrow"/>
                <w:sz w:val="22"/>
                <w:szCs w:val="22"/>
              </w:rPr>
            </w:pPr>
            <w:r w:rsidRPr="5957906F">
              <w:rPr>
                <w:rFonts w:ascii="Arial Narrow" w:hAnsi="Arial Narrow"/>
                <w:sz w:val="22"/>
                <w:szCs w:val="22"/>
              </w:rPr>
              <w:t xml:space="preserve">Hinzu kommen die Kosten der Präanalytik (blutstabilisierende Entnahmeröhrchen, Plasmaseparation, </w:t>
            </w:r>
            <w:proofErr w:type="spellStart"/>
            <w:r w:rsidRPr="5957906F">
              <w:rPr>
                <w:rFonts w:ascii="Arial Narrow" w:hAnsi="Arial Narrow"/>
                <w:sz w:val="22"/>
                <w:szCs w:val="22"/>
              </w:rPr>
              <w:t>c</w:t>
            </w:r>
            <w:r w:rsidR="00233201">
              <w:rPr>
                <w:rFonts w:ascii="Arial Narrow" w:hAnsi="Arial Narrow"/>
                <w:sz w:val="22"/>
                <w:szCs w:val="22"/>
              </w:rPr>
              <w:t>f</w:t>
            </w:r>
            <w:r w:rsidRPr="5957906F">
              <w:rPr>
                <w:rFonts w:ascii="Arial Narrow" w:hAnsi="Arial Narrow"/>
                <w:sz w:val="22"/>
                <w:szCs w:val="22"/>
              </w:rPr>
              <w:t>DNA</w:t>
            </w:r>
            <w:proofErr w:type="spellEnd"/>
            <w:r w:rsidRPr="5957906F">
              <w:rPr>
                <w:rFonts w:ascii="Arial Narrow" w:hAnsi="Arial Narrow"/>
                <w:sz w:val="22"/>
                <w:szCs w:val="22"/>
              </w:rPr>
              <w:t>-Extraktion), die bei jedem Untersuchungszeitpunkt erneut anfallen.</w:t>
            </w:r>
          </w:p>
          <w:p w14:paraId="6FE3D215" w14:textId="571589AC" w:rsidR="00AA09B6" w:rsidRDefault="00F21C24" w:rsidP="00AA09B6">
            <w:pPr>
              <w:rPr>
                <w:rFonts w:ascii="Arial Narrow" w:hAnsi="Arial Narrow"/>
                <w:sz w:val="22"/>
              </w:rPr>
            </w:pPr>
            <w:r w:rsidRPr="003D20B9">
              <w:rPr>
                <w:rFonts w:ascii="Arial Narrow" w:hAnsi="Arial Narrow"/>
                <w:sz w:val="22"/>
              </w:rPr>
              <w:t>In Anlehnung an den EBM leiten sich die Kosten je Bestimmung wie folgt ab:</w:t>
            </w:r>
          </w:p>
          <w:p w14:paraId="21268850" w14:textId="77777777" w:rsidR="00AA09B6" w:rsidRPr="00AA09B6" w:rsidRDefault="00AA09B6" w:rsidP="00AA09B6">
            <w:pPr>
              <w:rPr>
                <w:rFonts w:ascii="Arial Narrow" w:hAnsi="Arial Narrow"/>
                <w:sz w:val="22"/>
              </w:rPr>
            </w:pPr>
          </w:p>
          <w:p w14:paraId="0A9206A8" w14:textId="77777777" w:rsidR="00777897" w:rsidRPr="00777897" w:rsidRDefault="00777897" w:rsidP="00AA09B6">
            <w:pPr>
              <w:rPr>
                <w:rFonts w:ascii="Arial Narrow" w:hAnsi="Arial Narrow"/>
                <w:sz w:val="22"/>
              </w:rPr>
            </w:pPr>
            <w:r w:rsidRPr="00777897">
              <w:rPr>
                <w:rFonts w:ascii="Arial Narrow" w:hAnsi="Arial Narrow"/>
                <w:sz w:val="22"/>
              </w:rPr>
              <w:lastRenderedPageBreak/>
              <w:t>ESR1 aus zirkulierender Tumor-DNA (GOP 19466): 2.100 Punkte x 0,127404 € (Orientierungswert EBM 2026) = 267,55 € je Bestimmung</w:t>
            </w:r>
          </w:p>
          <w:p w14:paraId="7903F1DB" w14:textId="0B812251" w:rsidR="00777897" w:rsidRPr="00777897" w:rsidRDefault="362EC4B3" w:rsidP="47D098FE">
            <w:pPr>
              <w:spacing w:after="160" w:line="257" w:lineRule="auto"/>
              <w:rPr>
                <w:rFonts w:ascii="Aptos" w:eastAsia="Aptos" w:hAnsi="Aptos" w:cs="Aptos"/>
                <w:sz w:val="22"/>
                <w:szCs w:val="22"/>
              </w:rPr>
            </w:pPr>
            <w:r w:rsidRPr="47D098FE">
              <w:rPr>
                <w:rFonts w:ascii="Arial Narrow" w:hAnsi="Arial Narrow"/>
                <w:sz w:val="22"/>
                <w:szCs w:val="22"/>
              </w:rPr>
              <w:t xml:space="preserve">Wird der ESR1-Status gemeinsam mit dem PIK3CA-Status bestimmt, ist GOP 19467 einschlägig: 5.850 Punkte x 0,127404 € = 745,31 € je Bestimmung, </w:t>
            </w:r>
          </w:p>
          <w:p w14:paraId="782AF617" w14:textId="77777777" w:rsidR="00B930B4" w:rsidRPr="00B930B4" w:rsidRDefault="00777897" w:rsidP="00AA09B6">
            <w:pPr>
              <w:rPr>
                <w:rFonts w:ascii="Arial Narrow" w:hAnsi="Arial Narrow"/>
                <w:sz w:val="22"/>
                <w:szCs w:val="22"/>
              </w:rPr>
            </w:pPr>
            <w:r w:rsidRPr="31ADEB3C">
              <w:rPr>
                <w:rFonts w:ascii="Arial Narrow" w:hAnsi="Arial Narrow"/>
                <w:sz w:val="22"/>
                <w:szCs w:val="22"/>
              </w:rPr>
              <w:t xml:space="preserve">Bei einem Untersuchungsintervall von </w:t>
            </w:r>
            <w:r w:rsidR="00B930B4" w:rsidRPr="00B930B4">
              <w:rPr>
                <w:rFonts w:ascii="Arial Narrow" w:hAnsi="Arial Narrow"/>
                <w:sz w:val="22"/>
                <w:szCs w:val="22"/>
              </w:rPr>
              <w:t>drei Monaten ergeben sich vier Bestimmungen je Behandlungsjahr und damit Kosten von 1.070,20 € allein für die Analytik nach GOP 19466.</w:t>
            </w:r>
          </w:p>
          <w:p w14:paraId="2D18C25D" w14:textId="77777777" w:rsidR="00B930B4" w:rsidRPr="00B930B4" w:rsidRDefault="00B930B4" w:rsidP="00AA09B6">
            <w:pPr>
              <w:rPr>
                <w:rFonts w:ascii="Arial Narrow" w:hAnsi="Arial Narrow"/>
                <w:sz w:val="22"/>
                <w:szCs w:val="22"/>
              </w:rPr>
            </w:pPr>
            <w:r w:rsidRPr="00B930B4">
              <w:rPr>
                <w:rFonts w:ascii="Arial Narrow" w:hAnsi="Arial Narrow"/>
                <w:sz w:val="22"/>
                <w:szCs w:val="22"/>
              </w:rPr>
              <w:t xml:space="preserve">Aus methodischer Sicht kommt insbesondere der in GOP 19467 abgebildeten NGS-Diagnostik eine hohe Bedeutung zu. Sie ermöglicht den sensitiven Nachweis neu auftretender ESR1-Mutationen auch bei niedrigen </w:t>
            </w:r>
            <w:proofErr w:type="spellStart"/>
            <w:r w:rsidRPr="00B930B4">
              <w:rPr>
                <w:rFonts w:ascii="Arial Narrow" w:hAnsi="Arial Narrow"/>
                <w:sz w:val="22"/>
                <w:szCs w:val="22"/>
              </w:rPr>
              <w:t>Variantenallelfrequenzen</w:t>
            </w:r>
            <w:proofErr w:type="spellEnd"/>
            <w:r w:rsidRPr="00B930B4">
              <w:rPr>
                <w:rFonts w:ascii="Arial Narrow" w:hAnsi="Arial Narrow"/>
                <w:sz w:val="22"/>
                <w:szCs w:val="22"/>
              </w:rPr>
              <w:t xml:space="preserve">. Bei vier Untersuchungen pro Jahr ergeben sich hierfür </w:t>
            </w:r>
            <w:proofErr w:type="spellStart"/>
            <w:r w:rsidRPr="00B930B4">
              <w:rPr>
                <w:rFonts w:ascii="Arial Narrow" w:hAnsi="Arial Narrow"/>
                <w:sz w:val="22"/>
                <w:szCs w:val="22"/>
              </w:rPr>
              <w:t>Analytikkosten</w:t>
            </w:r>
            <w:proofErr w:type="spellEnd"/>
            <w:r w:rsidRPr="00B930B4">
              <w:rPr>
                <w:rFonts w:ascii="Arial Narrow" w:hAnsi="Arial Narrow"/>
                <w:sz w:val="22"/>
                <w:szCs w:val="22"/>
              </w:rPr>
              <w:t xml:space="preserve"> von 2.981,24 €.</w:t>
            </w:r>
          </w:p>
          <w:p w14:paraId="7D03D20B" w14:textId="61B005FB" w:rsidR="00156FE0" w:rsidRPr="001774E7" w:rsidRDefault="00B930B4" w:rsidP="00AA09B6">
            <w:pPr>
              <w:rPr>
                <w:rFonts w:ascii="Arial Narrow" w:hAnsi="Arial Narrow"/>
                <w:color w:val="548DD4" w:themeColor="text2" w:themeTint="99"/>
              </w:rPr>
            </w:pPr>
            <w:r w:rsidRPr="00B930B4">
              <w:rPr>
                <w:rFonts w:ascii="Arial Narrow" w:hAnsi="Arial Narrow"/>
                <w:sz w:val="22"/>
                <w:szCs w:val="22"/>
              </w:rPr>
              <w:t>Der zusätzliche Aufwand für die serielle ESR1-Testung bewegt sich somit, abhängig von der eingesetzten Analysenmethode, zwischen 1.070,20 € und 2.981,24 € pro Behandlungsjahr</w:t>
            </w:r>
            <w:r w:rsidR="00777897" w:rsidRPr="31ADEB3C">
              <w:rPr>
                <w:rFonts w:ascii="Arial Narrow" w:hAnsi="Arial Narrow"/>
                <w:sz w:val="22"/>
                <w:szCs w:val="22"/>
              </w:rPr>
              <w:t>.</w:t>
            </w:r>
          </w:p>
        </w:tc>
      </w:tr>
    </w:tbl>
    <w:p w14:paraId="45E65153" w14:textId="77777777" w:rsidR="008E6675" w:rsidRPr="005638EB" w:rsidRDefault="008E6675" w:rsidP="005638EB">
      <w:pPr>
        <w:rPr>
          <w:rFonts w:ascii="Arial Narrow" w:hAnsi="Arial Narrow"/>
          <w:b/>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D84EF57" w14:textId="77777777">
        <w:tc>
          <w:tcPr>
            <w:tcW w:w="9212" w:type="dxa"/>
          </w:tcPr>
          <w:p w14:paraId="2FCAAE14" w14:textId="77777777" w:rsidR="008E6675" w:rsidRPr="005638EB" w:rsidRDefault="008E6675" w:rsidP="005638EB">
            <w:pPr>
              <w:rPr>
                <w:rFonts w:ascii="Arial Narrow" w:hAnsi="Arial Narrow"/>
              </w:rPr>
            </w:pPr>
            <w:r w:rsidRPr="008C1686">
              <w:rPr>
                <w:rFonts w:ascii="Arial Narrow" w:hAnsi="Arial Narrow"/>
                <w:b/>
                <w:sz w:val="22"/>
              </w:rPr>
              <w:t>Welche DRG(s) ist/sind am häufigsten von dieser Methode betroffen?</w:t>
            </w:r>
          </w:p>
        </w:tc>
      </w:tr>
      <w:tr w:rsidR="008E6675" w:rsidRPr="005638EB" w14:paraId="56F9F66E" w14:textId="77777777">
        <w:tc>
          <w:tcPr>
            <w:tcW w:w="9212" w:type="dxa"/>
          </w:tcPr>
          <w:p w14:paraId="2299F0EA" w14:textId="3E4A8255" w:rsidR="008D71BC" w:rsidRDefault="008D71BC" w:rsidP="005638EB">
            <w:pPr>
              <w:rPr>
                <w:rFonts w:ascii="Arial Narrow" w:hAnsi="Arial Narrow"/>
                <w:sz w:val="22"/>
              </w:rPr>
            </w:pPr>
            <w:r>
              <w:rPr>
                <w:rFonts w:ascii="Arial Narrow" w:hAnsi="Arial Narrow"/>
                <w:sz w:val="22"/>
              </w:rPr>
              <w:t>J25Z</w:t>
            </w:r>
          </w:p>
          <w:p w14:paraId="2067AA26" w14:textId="766578A5" w:rsidR="008D71BC" w:rsidRDefault="008D71BC" w:rsidP="005638EB">
            <w:pPr>
              <w:rPr>
                <w:rFonts w:ascii="Arial Narrow" w:hAnsi="Arial Narrow"/>
                <w:sz w:val="22"/>
              </w:rPr>
            </w:pPr>
            <w:r>
              <w:rPr>
                <w:rFonts w:ascii="Arial Narrow" w:hAnsi="Arial Narrow"/>
                <w:sz w:val="22"/>
              </w:rPr>
              <w:t>J</w:t>
            </w:r>
            <w:r w:rsidR="00EA3EDF">
              <w:rPr>
                <w:rFonts w:ascii="Arial Narrow" w:hAnsi="Arial Narrow"/>
                <w:sz w:val="22"/>
              </w:rPr>
              <w:t>23Z</w:t>
            </w:r>
          </w:p>
          <w:p w14:paraId="3FDE8751" w14:textId="6E5DBF59" w:rsidR="002E1A16" w:rsidRPr="00A100DC" w:rsidRDefault="00EA3EDF" w:rsidP="005638EB">
            <w:pPr>
              <w:rPr>
                <w:rFonts w:ascii="Arial Narrow" w:hAnsi="Arial Narrow"/>
                <w:color w:val="00B050"/>
                <w:sz w:val="22"/>
              </w:rPr>
            </w:pPr>
            <w:r>
              <w:rPr>
                <w:rFonts w:ascii="Arial Narrow" w:hAnsi="Arial Narrow"/>
                <w:sz w:val="22"/>
              </w:rPr>
              <w:t>J07B</w:t>
            </w:r>
          </w:p>
        </w:tc>
      </w:tr>
    </w:tbl>
    <w:p w14:paraId="4E6FC927" w14:textId="77777777" w:rsidR="008E6675" w:rsidRPr="005638EB" w:rsidRDefault="008E6675" w:rsidP="005638EB">
      <w:pPr>
        <w:rPr>
          <w:rFonts w:ascii="Arial Narrow" w:hAnsi="Arial Narrow"/>
          <w:b/>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E9DF4AB" w14:textId="77777777">
        <w:tc>
          <w:tcPr>
            <w:tcW w:w="9212" w:type="dxa"/>
          </w:tcPr>
          <w:p w14:paraId="3184CC4A" w14:textId="77777777" w:rsidR="008E6675" w:rsidRPr="005638EB" w:rsidRDefault="008E6675" w:rsidP="005638EB">
            <w:pPr>
              <w:rPr>
                <w:rFonts w:ascii="Arial Narrow" w:hAnsi="Arial Narrow"/>
              </w:rPr>
            </w:pPr>
            <w:r w:rsidRPr="008C1686">
              <w:rPr>
                <w:rFonts w:ascii="Arial Narrow" w:hAnsi="Arial Narrow"/>
                <w:b/>
                <w:sz w:val="22"/>
              </w:rPr>
              <w:t>Warum ist diese Methode aus Ihrer Sicht derzeit im G-DRG-System nicht sachgerecht abgebildet?</w:t>
            </w:r>
          </w:p>
        </w:tc>
      </w:tr>
      <w:tr w:rsidR="008E6675" w:rsidRPr="00ED4386" w14:paraId="3100E4A7" w14:textId="77777777">
        <w:tc>
          <w:tcPr>
            <w:tcW w:w="9212" w:type="dxa"/>
          </w:tcPr>
          <w:p w14:paraId="1D7BAAAA" w14:textId="1D829E56" w:rsidR="00BF6F41" w:rsidRPr="00BF6F41" w:rsidRDefault="00BF6F41" w:rsidP="00DF61B5">
            <w:pPr>
              <w:rPr>
                <w:rFonts w:ascii="Arial Narrow" w:hAnsi="Arial Narrow"/>
                <w:sz w:val="22"/>
              </w:rPr>
            </w:pPr>
            <w:r w:rsidRPr="00BF6F41">
              <w:rPr>
                <w:rFonts w:ascii="Arial Narrow" w:hAnsi="Arial Narrow"/>
                <w:sz w:val="22"/>
              </w:rPr>
              <w:t>Camizestrant wurde am 2</w:t>
            </w:r>
            <w:r w:rsidR="008676B5">
              <w:rPr>
                <w:rFonts w:ascii="Arial Narrow" w:hAnsi="Arial Narrow"/>
                <w:sz w:val="22"/>
              </w:rPr>
              <w:t>0</w:t>
            </w:r>
            <w:r w:rsidRPr="00BF6F41">
              <w:rPr>
                <w:rFonts w:ascii="Arial Narrow" w:hAnsi="Arial Narrow"/>
                <w:sz w:val="22"/>
              </w:rPr>
              <w:t>. Juli 2026 zugelassen. Für das Datenjahr 2025, das der Kalkulation des G-DRG-Systems 2027 zugrunde liegt, können daher keine Kosten- und Leistungsdaten zum Einsatz des Wirkstoffs und zur zugehörigen seriellen ESR1-Diagnostik vorliegen. Eine sachgerechte Abbildung im G-DRG-System 2027 ist damit ausgeschlossen.</w:t>
            </w:r>
          </w:p>
          <w:p w14:paraId="50D4571D" w14:textId="14E4DEE7" w:rsidR="00526234" w:rsidRPr="00526234" w:rsidRDefault="00BF6F41" w:rsidP="00DF61B5">
            <w:pPr>
              <w:rPr>
                <w:rFonts w:ascii="Arial Narrow" w:hAnsi="Arial Narrow"/>
                <w:sz w:val="22"/>
              </w:rPr>
            </w:pPr>
            <w:r w:rsidRPr="00BF6F41">
              <w:rPr>
                <w:rFonts w:ascii="Arial Narrow" w:hAnsi="Arial Narrow"/>
                <w:sz w:val="22"/>
              </w:rPr>
              <w:t xml:space="preserve">Ergänzend gilt: Auch für die im Zusammenhang mit </w:t>
            </w:r>
            <w:proofErr w:type="spellStart"/>
            <w:r w:rsidRPr="00BF6F41">
              <w:rPr>
                <w:rFonts w:ascii="Arial Narrow" w:hAnsi="Arial Narrow"/>
                <w:sz w:val="22"/>
              </w:rPr>
              <w:t>Elacestrant</w:t>
            </w:r>
            <w:proofErr w:type="spellEnd"/>
            <w:r w:rsidRPr="00BF6F41">
              <w:rPr>
                <w:rFonts w:ascii="Arial Narrow" w:hAnsi="Arial Narrow"/>
                <w:sz w:val="22"/>
              </w:rPr>
              <w:t xml:space="preserve"> seit September 2023 durchgeführte Einmaltestung vermuten wir eine zu kleine Stichprobe in den Kalkulationshäusern, um eine sachgerechte Abbildung zu ermöglichen.</w:t>
            </w:r>
          </w:p>
          <w:p w14:paraId="6D20955F" w14:textId="37011D63" w:rsidR="003D20B9" w:rsidRPr="003D20B9" w:rsidRDefault="003D20B9" w:rsidP="00DF61B5">
            <w:pPr>
              <w:rPr>
                <w:rFonts w:ascii="Arial Narrow" w:hAnsi="Arial Narrow"/>
                <w:sz w:val="22"/>
                <w:szCs w:val="22"/>
              </w:rPr>
            </w:pPr>
            <w:r w:rsidRPr="5F671185">
              <w:rPr>
                <w:rFonts w:ascii="Arial Narrow" w:hAnsi="Arial Narrow"/>
                <w:sz w:val="22"/>
                <w:szCs w:val="22"/>
              </w:rPr>
              <w:t xml:space="preserve">Die zusätzlichen Kosten der wiederholten ESR1-Bestimmung von </w:t>
            </w:r>
            <w:r w:rsidR="00777897" w:rsidRPr="5F671185">
              <w:rPr>
                <w:rFonts w:ascii="Arial Narrow" w:hAnsi="Arial Narrow"/>
                <w:sz w:val="22"/>
                <w:szCs w:val="22"/>
              </w:rPr>
              <w:t>1</w:t>
            </w:r>
            <w:r w:rsidRPr="5F671185">
              <w:rPr>
                <w:rFonts w:ascii="Arial Narrow" w:hAnsi="Arial Narrow"/>
                <w:sz w:val="22"/>
                <w:szCs w:val="22"/>
              </w:rPr>
              <w:t>.</w:t>
            </w:r>
            <w:r w:rsidR="00777897" w:rsidRPr="5F671185">
              <w:rPr>
                <w:rFonts w:ascii="Arial Narrow" w:hAnsi="Arial Narrow"/>
                <w:sz w:val="22"/>
                <w:szCs w:val="22"/>
              </w:rPr>
              <w:t>070,20</w:t>
            </w:r>
            <w:r w:rsidRPr="5F671185">
              <w:rPr>
                <w:rFonts w:ascii="Arial Narrow" w:hAnsi="Arial Narrow"/>
                <w:sz w:val="22"/>
                <w:szCs w:val="22"/>
              </w:rPr>
              <w:t xml:space="preserve"> € </w:t>
            </w:r>
            <w:r w:rsidR="00777897" w:rsidRPr="5F671185">
              <w:rPr>
                <w:rFonts w:ascii="Arial Narrow" w:hAnsi="Arial Narrow"/>
                <w:sz w:val="22"/>
                <w:szCs w:val="22"/>
              </w:rPr>
              <w:t xml:space="preserve">bis </w:t>
            </w:r>
            <w:r w:rsidR="009011BE">
              <w:rPr>
                <w:rFonts w:ascii="Arial Narrow" w:hAnsi="Arial Narrow"/>
                <w:sz w:val="22"/>
                <w:szCs w:val="22"/>
              </w:rPr>
              <w:t>2</w:t>
            </w:r>
            <w:r w:rsidR="0083681A">
              <w:rPr>
                <w:rFonts w:ascii="Arial Narrow" w:hAnsi="Arial Narrow"/>
                <w:sz w:val="22"/>
                <w:szCs w:val="22"/>
              </w:rPr>
              <w:t>.</w:t>
            </w:r>
            <w:r w:rsidR="001402B6">
              <w:rPr>
                <w:rFonts w:ascii="Arial Narrow" w:hAnsi="Arial Narrow"/>
                <w:sz w:val="22"/>
                <w:szCs w:val="22"/>
              </w:rPr>
              <w:t>9</w:t>
            </w:r>
            <w:r w:rsidR="00AE61FD">
              <w:rPr>
                <w:rFonts w:ascii="Arial Narrow" w:hAnsi="Arial Narrow"/>
                <w:sz w:val="22"/>
                <w:szCs w:val="22"/>
              </w:rPr>
              <w:t>81</w:t>
            </w:r>
            <w:r w:rsidR="00A67356">
              <w:rPr>
                <w:rFonts w:ascii="Arial Narrow" w:hAnsi="Arial Narrow"/>
                <w:sz w:val="22"/>
                <w:szCs w:val="22"/>
              </w:rPr>
              <w:t>,</w:t>
            </w:r>
            <w:r w:rsidR="00B7755B">
              <w:rPr>
                <w:rFonts w:ascii="Arial Narrow" w:hAnsi="Arial Narrow"/>
                <w:sz w:val="22"/>
                <w:szCs w:val="22"/>
              </w:rPr>
              <w:t>24</w:t>
            </w:r>
            <w:r w:rsidR="00777897" w:rsidRPr="5F671185">
              <w:rPr>
                <w:rFonts w:ascii="Arial Narrow" w:hAnsi="Arial Narrow"/>
                <w:sz w:val="22"/>
                <w:szCs w:val="22"/>
              </w:rPr>
              <w:t xml:space="preserve"> € je Behandlungsjahr</w:t>
            </w:r>
            <w:r w:rsidRPr="5F671185">
              <w:rPr>
                <w:rFonts w:ascii="Arial Narrow" w:hAnsi="Arial Narrow"/>
                <w:sz w:val="22"/>
                <w:szCs w:val="22"/>
              </w:rPr>
              <w:t xml:space="preserve"> können mit den o.g. Fallpauschalen allein nicht ausreichend abgebildet werden; die ESR1-Diagnostik aus </w:t>
            </w:r>
            <w:proofErr w:type="spellStart"/>
            <w:r w:rsidRPr="5F671185">
              <w:rPr>
                <w:rFonts w:ascii="Arial Narrow" w:hAnsi="Arial Narrow"/>
                <w:sz w:val="22"/>
                <w:szCs w:val="22"/>
              </w:rPr>
              <w:t>Flüssigbiopsat</w:t>
            </w:r>
            <w:proofErr w:type="spellEnd"/>
            <w:r w:rsidRPr="5F671185">
              <w:rPr>
                <w:rFonts w:ascii="Arial Narrow" w:hAnsi="Arial Narrow"/>
                <w:sz w:val="22"/>
                <w:szCs w:val="22"/>
              </w:rPr>
              <w:t xml:space="preserve"> ist nach unserer Kenntnis bisher nicht über ein Zusatzentgelt abgebildet. Aufgrund der hohen Kosten der mehrfach erforderlichen Diagnostik kommt es zu einer Unterfinanzierung in den entsprechenden Fällen der betroffenen DRGs.</w:t>
            </w:r>
          </w:p>
          <w:p w14:paraId="222643B9" w14:textId="13BFC0BE" w:rsidR="008E6675" w:rsidRPr="00ED4386" w:rsidRDefault="0077584E" w:rsidP="00DF61B5">
            <w:pPr>
              <w:rPr>
                <w:rFonts w:ascii="Arial Narrow" w:hAnsi="Arial Narrow"/>
                <w:sz w:val="22"/>
              </w:rPr>
            </w:pPr>
            <w:r w:rsidRPr="0077584E">
              <w:rPr>
                <w:rFonts w:ascii="Arial Narrow" w:hAnsi="Arial Narrow"/>
                <w:sz w:val="22"/>
              </w:rPr>
              <w:t xml:space="preserve">Camizestrant ist in der Aufstellung für 2026 nicht enthalten, da die Zulassung nach dem Stichtag erfolgte. Der Nachweis von ESR1-Mutationen aus </w:t>
            </w:r>
            <w:proofErr w:type="spellStart"/>
            <w:r w:rsidRPr="0077584E">
              <w:rPr>
                <w:rFonts w:ascii="Arial Narrow" w:hAnsi="Arial Narrow"/>
                <w:sz w:val="22"/>
              </w:rPr>
              <w:t>Flüssigbiopsat</w:t>
            </w:r>
            <w:proofErr w:type="spellEnd"/>
            <w:r w:rsidRPr="0077584E">
              <w:rPr>
                <w:rFonts w:ascii="Arial Narrow" w:hAnsi="Arial Narrow"/>
                <w:sz w:val="22"/>
              </w:rPr>
              <w:t xml:space="preserve"> wurde für 2026 lediglich mit Status 2 bewertet und ist damit nicht über ein NUB-Entgelt vergütungsfähig; ergänzend trug </w:t>
            </w:r>
            <w:proofErr w:type="spellStart"/>
            <w:r w:rsidRPr="0077584E">
              <w:rPr>
                <w:rFonts w:ascii="Arial Narrow" w:hAnsi="Arial Narrow"/>
                <w:sz w:val="22"/>
              </w:rPr>
              <w:t>Elacestrant</w:t>
            </w:r>
            <w:proofErr w:type="spellEnd"/>
            <w:r w:rsidRPr="0077584E">
              <w:rPr>
                <w:rFonts w:ascii="Arial Narrow" w:hAnsi="Arial Narrow"/>
                <w:sz w:val="22"/>
              </w:rPr>
              <w:t xml:space="preserve"> den NUB-Status 1</w:t>
            </w:r>
            <w:r w:rsidR="00F24B49">
              <w:rPr>
                <w:rFonts w:ascii="Arial Narrow" w:hAnsi="Arial Narrow"/>
                <w:sz w:val="22"/>
              </w:rPr>
              <w:t>.</w:t>
            </w:r>
          </w:p>
        </w:tc>
      </w:tr>
    </w:tbl>
    <w:p w14:paraId="0A50A959" w14:textId="77777777" w:rsidR="008E6675" w:rsidRPr="005638EB" w:rsidRDefault="008E6675" w:rsidP="005638EB">
      <w:pPr>
        <w:rPr>
          <w:rFonts w:ascii="Arial Narrow" w:hAnsi="Arial Narrow"/>
        </w:rPr>
      </w:pPr>
    </w:p>
    <w:sectPr w:rsidR="008E6675" w:rsidRPr="005638EB" w:rsidSect="004E1D0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E56B5" w14:textId="77777777" w:rsidR="0095069C" w:rsidRDefault="0095069C">
      <w:r>
        <w:separator/>
      </w:r>
    </w:p>
  </w:endnote>
  <w:endnote w:type="continuationSeparator" w:id="0">
    <w:p w14:paraId="4B86D214" w14:textId="77777777" w:rsidR="0095069C" w:rsidRDefault="0095069C">
      <w:r>
        <w:continuationSeparator/>
      </w:r>
    </w:p>
  </w:endnote>
  <w:endnote w:type="continuationNotice" w:id="1">
    <w:p w14:paraId="50B67468" w14:textId="77777777" w:rsidR="0095069C" w:rsidRDefault="009506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4D90E" w14:textId="77777777" w:rsidR="002260BA" w:rsidRDefault="002260B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FD95" w14:textId="24CC9FF1" w:rsidR="00276566" w:rsidRPr="00435583" w:rsidRDefault="00276566" w:rsidP="00435583">
    <w:pPr>
      <w:rPr>
        <w:rFonts w:ascii="Arial Narrow" w:hAnsi="Arial Narrow"/>
        <w:sz w:val="20"/>
        <w:szCs w:val="20"/>
      </w:rPr>
    </w:pPr>
    <w:r w:rsidRPr="00435583">
      <w:rPr>
        <w:rFonts w:ascii="Arial Narrow" w:hAnsi="Arial Narrow"/>
        <w:sz w:val="20"/>
        <w:szCs w:val="20"/>
      </w:rPr>
      <w:t>NUB-Musteranfrage</w:t>
    </w:r>
    <w:r>
      <w:rPr>
        <w:rFonts w:ascii="Arial Narrow" w:hAnsi="Arial Narrow"/>
        <w:sz w:val="20"/>
        <w:szCs w:val="20"/>
      </w:rPr>
      <w:t xml:space="preserve"> Serielle ESR1-Testung Mamma-Karzinom</w:t>
    </w:r>
  </w:p>
  <w:p w14:paraId="0C2FD237" w14:textId="0F29ADA2" w:rsidR="002260BA" w:rsidRDefault="002260BA" w:rsidP="00435583">
    <w:pPr>
      <w:rPr>
        <w:rFonts w:ascii="Arial Narrow" w:hAnsi="Arial Narrow"/>
        <w:sz w:val="20"/>
        <w:szCs w:val="20"/>
      </w:rPr>
    </w:pPr>
    <w:r>
      <w:rPr>
        <w:rFonts w:ascii="Arial Narrow" w:hAnsi="Arial Narrow"/>
        <w:sz w:val="20"/>
        <w:szCs w:val="20"/>
      </w:rPr>
      <w:t xml:space="preserve">AstraZeneca Freigabenummer: </w:t>
    </w:r>
    <w:r>
      <w:rPr>
        <w:rFonts w:ascii="Arial Narrow" w:hAnsi="Arial Narrow"/>
        <w:sz w:val="20"/>
        <w:szCs w:val="20"/>
      </w:rPr>
      <w:t>DE-98820/26</w:t>
    </w:r>
  </w:p>
  <w:p w14:paraId="228561E0" w14:textId="5E3401A4" w:rsidR="00276566" w:rsidRPr="005F5DF9" w:rsidRDefault="00276566" w:rsidP="00435583">
    <w:pPr>
      <w:rPr>
        <w:rFonts w:ascii="Arial Narrow" w:hAnsi="Arial Narrow"/>
        <w:sz w:val="20"/>
        <w:szCs w:val="20"/>
      </w:rPr>
    </w:pPr>
    <w:r w:rsidRPr="005F5DF9">
      <w:rPr>
        <w:rFonts w:ascii="Arial Narrow" w:hAnsi="Arial Narrow"/>
        <w:sz w:val="20"/>
        <w:szCs w:val="20"/>
      </w:rPr>
      <w:t xml:space="preserve">Seite </w:t>
    </w:r>
    <w:r w:rsidRPr="005F5DF9">
      <w:rPr>
        <w:rFonts w:ascii="Arial Narrow" w:hAnsi="Arial Narrow"/>
        <w:sz w:val="20"/>
        <w:szCs w:val="20"/>
      </w:rPr>
      <w:fldChar w:fldCharType="begin"/>
    </w:r>
    <w:r w:rsidRPr="005F5DF9">
      <w:rPr>
        <w:rFonts w:ascii="Arial Narrow" w:hAnsi="Arial Narrow"/>
        <w:sz w:val="20"/>
        <w:szCs w:val="20"/>
      </w:rPr>
      <w:instrText>PAGE  \* Arabic  \* MERGEFORMAT</w:instrText>
    </w:r>
    <w:r w:rsidRPr="005F5DF9">
      <w:rPr>
        <w:rFonts w:ascii="Arial Narrow" w:hAnsi="Arial Narrow"/>
        <w:sz w:val="20"/>
        <w:szCs w:val="20"/>
      </w:rPr>
      <w:fldChar w:fldCharType="separate"/>
    </w:r>
    <w:r w:rsidRPr="005F5DF9">
      <w:rPr>
        <w:rFonts w:ascii="Arial Narrow" w:hAnsi="Arial Narrow"/>
        <w:sz w:val="20"/>
        <w:szCs w:val="20"/>
      </w:rPr>
      <w:t>1</w:t>
    </w:r>
    <w:r w:rsidRPr="005F5DF9">
      <w:rPr>
        <w:rFonts w:ascii="Arial Narrow" w:hAnsi="Arial Narrow"/>
        <w:sz w:val="20"/>
        <w:szCs w:val="20"/>
      </w:rPr>
      <w:fldChar w:fldCharType="end"/>
    </w:r>
    <w:r w:rsidRPr="005F5DF9">
      <w:rPr>
        <w:rFonts w:ascii="Arial Narrow" w:hAnsi="Arial Narrow"/>
        <w:sz w:val="20"/>
        <w:szCs w:val="20"/>
      </w:rPr>
      <w:t xml:space="preserve"> von </w:t>
    </w:r>
    <w:r w:rsidRPr="005F5DF9">
      <w:rPr>
        <w:rFonts w:ascii="Arial Narrow" w:hAnsi="Arial Narrow"/>
        <w:sz w:val="20"/>
        <w:szCs w:val="20"/>
      </w:rPr>
      <w:fldChar w:fldCharType="begin"/>
    </w:r>
    <w:r w:rsidRPr="005F5DF9">
      <w:rPr>
        <w:rFonts w:ascii="Arial Narrow" w:hAnsi="Arial Narrow"/>
        <w:sz w:val="20"/>
        <w:szCs w:val="20"/>
      </w:rPr>
      <w:instrText>NUMPAGES  \* Arabic  \* MERGEFORMAT</w:instrText>
    </w:r>
    <w:r w:rsidRPr="005F5DF9">
      <w:rPr>
        <w:rFonts w:ascii="Arial Narrow" w:hAnsi="Arial Narrow"/>
        <w:sz w:val="20"/>
        <w:szCs w:val="20"/>
      </w:rPr>
      <w:fldChar w:fldCharType="separate"/>
    </w:r>
    <w:r w:rsidRPr="005F5DF9">
      <w:rPr>
        <w:rFonts w:ascii="Arial Narrow" w:hAnsi="Arial Narrow"/>
        <w:sz w:val="20"/>
        <w:szCs w:val="20"/>
      </w:rPr>
      <w:t>2</w:t>
    </w:r>
    <w:r w:rsidRPr="005F5DF9">
      <w:rPr>
        <w:rFonts w:ascii="Arial Narrow" w:hAnsi="Arial Narrow"/>
        <w:sz w:val="20"/>
        <w:szCs w:val="20"/>
      </w:rPr>
      <w:fldChar w:fldCharType="end"/>
    </w:r>
  </w:p>
  <w:p w14:paraId="7208848C" w14:textId="4067DB14" w:rsidR="00276566" w:rsidRPr="00435583" w:rsidRDefault="002B1100" w:rsidP="00435583">
    <w:pPr>
      <w:rPr>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82F2" w14:textId="77777777" w:rsidR="002260BA" w:rsidRDefault="002260B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64A2B" w14:textId="77777777" w:rsidR="0095069C" w:rsidRDefault="0095069C">
      <w:r>
        <w:separator/>
      </w:r>
    </w:p>
  </w:footnote>
  <w:footnote w:type="continuationSeparator" w:id="0">
    <w:p w14:paraId="220EF471" w14:textId="77777777" w:rsidR="0095069C" w:rsidRDefault="0095069C">
      <w:r>
        <w:continuationSeparator/>
      </w:r>
    </w:p>
  </w:footnote>
  <w:footnote w:type="continuationNotice" w:id="1">
    <w:p w14:paraId="30BB24BB" w14:textId="77777777" w:rsidR="0095069C" w:rsidRDefault="009506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F2B6" w14:textId="77777777" w:rsidR="002260BA" w:rsidRDefault="002260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F496B" w14:textId="77777777" w:rsidR="00276566" w:rsidRPr="00B81ECA" w:rsidRDefault="00276566" w:rsidP="00596F9A">
    <w:pPr>
      <w:rPr>
        <w:rFonts w:ascii="Lucida Sans Unicode" w:hAnsi="Lucida Sans Unicode" w:cs="Lucida Sans Unicode"/>
        <w:sz w:val="48"/>
      </w:rPr>
    </w:pPr>
    <w:r w:rsidRPr="00B81ECA">
      <w:rPr>
        <w:rFonts w:ascii="Lucida Sans Unicode" w:hAnsi="Lucida Sans Unicode" w:cs="Lucida Sans Unicode"/>
        <w:sz w:val="48"/>
      </w:rPr>
      <w:t>NUB Antrag 2026/2027</w:t>
    </w:r>
  </w:p>
  <w:p w14:paraId="78387B8B" w14:textId="22D379CC" w:rsidR="00276566" w:rsidRPr="00B81ECA" w:rsidRDefault="00276566">
    <w:pPr>
      <w:rPr>
        <w:rFonts w:ascii="Lucida Sans Unicode" w:hAnsi="Lucida Sans Unicode" w:cs="Lucida Sans Unicode"/>
      </w:rPr>
    </w:pPr>
    <w:r w:rsidRPr="00B81ECA">
      <w:rPr>
        <w:rFonts w:ascii="Lucida Sans Unicode" w:hAnsi="Lucida Sans Unicode" w:cs="Lucida Sans Unicode"/>
        <w:sz w:val="48"/>
      </w:rPr>
      <w:t>Serielle ESR1-Testung beim fortgeschrittenen Östrogenrezeptor-positiven Brustkrebs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7439E" w14:textId="77777777" w:rsidR="002260BA" w:rsidRDefault="002260B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E2F"/>
    <w:multiLevelType w:val="hybridMultilevel"/>
    <w:tmpl w:val="1C4049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1B2B83"/>
    <w:multiLevelType w:val="multilevel"/>
    <w:tmpl w:val="1D4663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5C1CCB"/>
    <w:multiLevelType w:val="multilevel"/>
    <w:tmpl w:val="7D024176"/>
    <w:lvl w:ilvl="0">
      <w:start w:val="1"/>
      <w:numFmt w:val="decimal"/>
      <w:lvlText w:val="%1"/>
      <w:lvlJc w:val="left"/>
      <w:pPr>
        <w:tabs>
          <w:tab w:val="num" w:pos="360"/>
        </w:tabs>
        <w:ind w:left="360" w:hanging="360"/>
      </w:pPr>
      <w:rPr>
        <w:rFonts w:cs="Times New Roman" w:hint="default"/>
        <w:b w:val="0"/>
      </w:rPr>
    </w:lvl>
    <w:lvl w:ilvl="1">
      <w:start w:val="4"/>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3" w15:restartNumberingAfterBreak="0">
    <w:nsid w:val="0F8C1304"/>
    <w:multiLevelType w:val="hybridMultilevel"/>
    <w:tmpl w:val="49187E7A"/>
    <w:lvl w:ilvl="0" w:tplc="F4DC3A5A">
      <w:start w:val="1"/>
      <w:numFmt w:val="bullet"/>
      <w:lvlText w:val=""/>
      <w:lvlJc w:val="left"/>
      <w:pPr>
        <w:tabs>
          <w:tab w:val="num" w:pos="720"/>
        </w:tabs>
        <w:ind w:left="720" w:hanging="360"/>
      </w:pPr>
      <w:rPr>
        <w:rFonts w:ascii="Symbol" w:hAnsi="Symbol" w:hint="default"/>
        <w:sz w:val="20"/>
      </w:rPr>
    </w:lvl>
    <w:lvl w:ilvl="1" w:tplc="22CA003C" w:tentative="1">
      <w:start w:val="1"/>
      <w:numFmt w:val="bullet"/>
      <w:lvlText w:val="o"/>
      <w:lvlJc w:val="left"/>
      <w:pPr>
        <w:tabs>
          <w:tab w:val="num" w:pos="1440"/>
        </w:tabs>
        <w:ind w:left="1440" w:hanging="360"/>
      </w:pPr>
      <w:rPr>
        <w:rFonts w:ascii="Courier New" w:hAnsi="Courier New" w:hint="default"/>
        <w:sz w:val="20"/>
      </w:rPr>
    </w:lvl>
    <w:lvl w:ilvl="2" w:tplc="69B6E4CA" w:tentative="1">
      <w:start w:val="1"/>
      <w:numFmt w:val="bullet"/>
      <w:lvlText w:val=""/>
      <w:lvlJc w:val="left"/>
      <w:pPr>
        <w:tabs>
          <w:tab w:val="num" w:pos="2160"/>
        </w:tabs>
        <w:ind w:left="2160" w:hanging="360"/>
      </w:pPr>
      <w:rPr>
        <w:rFonts w:ascii="Wingdings" w:hAnsi="Wingdings" w:hint="default"/>
        <w:sz w:val="20"/>
      </w:rPr>
    </w:lvl>
    <w:lvl w:ilvl="3" w:tplc="D0E6B0AC" w:tentative="1">
      <w:start w:val="1"/>
      <w:numFmt w:val="bullet"/>
      <w:lvlText w:val=""/>
      <w:lvlJc w:val="left"/>
      <w:pPr>
        <w:tabs>
          <w:tab w:val="num" w:pos="2880"/>
        </w:tabs>
        <w:ind w:left="2880" w:hanging="360"/>
      </w:pPr>
      <w:rPr>
        <w:rFonts w:ascii="Wingdings" w:hAnsi="Wingdings" w:hint="default"/>
        <w:sz w:val="20"/>
      </w:rPr>
    </w:lvl>
    <w:lvl w:ilvl="4" w:tplc="32A8AE62" w:tentative="1">
      <w:start w:val="1"/>
      <w:numFmt w:val="bullet"/>
      <w:lvlText w:val=""/>
      <w:lvlJc w:val="left"/>
      <w:pPr>
        <w:tabs>
          <w:tab w:val="num" w:pos="3600"/>
        </w:tabs>
        <w:ind w:left="3600" w:hanging="360"/>
      </w:pPr>
      <w:rPr>
        <w:rFonts w:ascii="Wingdings" w:hAnsi="Wingdings" w:hint="default"/>
        <w:sz w:val="20"/>
      </w:rPr>
    </w:lvl>
    <w:lvl w:ilvl="5" w:tplc="91AC12EA" w:tentative="1">
      <w:start w:val="1"/>
      <w:numFmt w:val="bullet"/>
      <w:lvlText w:val=""/>
      <w:lvlJc w:val="left"/>
      <w:pPr>
        <w:tabs>
          <w:tab w:val="num" w:pos="4320"/>
        </w:tabs>
        <w:ind w:left="4320" w:hanging="360"/>
      </w:pPr>
      <w:rPr>
        <w:rFonts w:ascii="Wingdings" w:hAnsi="Wingdings" w:hint="default"/>
        <w:sz w:val="20"/>
      </w:rPr>
    </w:lvl>
    <w:lvl w:ilvl="6" w:tplc="FE4C643A" w:tentative="1">
      <w:start w:val="1"/>
      <w:numFmt w:val="bullet"/>
      <w:lvlText w:val=""/>
      <w:lvlJc w:val="left"/>
      <w:pPr>
        <w:tabs>
          <w:tab w:val="num" w:pos="5040"/>
        </w:tabs>
        <w:ind w:left="5040" w:hanging="360"/>
      </w:pPr>
      <w:rPr>
        <w:rFonts w:ascii="Wingdings" w:hAnsi="Wingdings" w:hint="default"/>
        <w:sz w:val="20"/>
      </w:rPr>
    </w:lvl>
    <w:lvl w:ilvl="7" w:tplc="8F8C7AD6" w:tentative="1">
      <w:start w:val="1"/>
      <w:numFmt w:val="bullet"/>
      <w:lvlText w:val=""/>
      <w:lvlJc w:val="left"/>
      <w:pPr>
        <w:tabs>
          <w:tab w:val="num" w:pos="5760"/>
        </w:tabs>
        <w:ind w:left="5760" w:hanging="360"/>
      </w:pPr>
      <w:rPr>
        <w:rFonts w:ascii="Wingdings" w:hAnsi="Wingdings" w:hint="default"/>
        <w:sz w:val="20"/>
      </w:rPr>
    </w:lvl>
    <w:lvl w:ilvl="8" w:tplc="F2C29F7C"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81313"/>
    <w:multiLevelType w:val="hybridMultilevel"/>
    <w:tmpl w:val="7F4E33F6"/>
    <w:lvl w:ilvl="0" w:tplc="9AEE24C8">
      <w:start w:val="1"/>
      <w:numFmt w:val="decimal"/>
      <w:lvlText w:val="(%1)"/>
      <w:lvlJc w:val="left"/>
      <w:pPr>
        <w:tabs>
          <w:tab w:val="num" w:pos="1080"/>
        </w:tabs>
        <w:ind w:left="1080" w:hanging="720"/>
      </w:pPr>
      <w:rPr>
        <w:rFonts w:ascii="Arial" w:hAnsi="Arial" w:cs="Arial" w:hint="default"/>
        <w:sz w:val="22"/>
      </w:rPr>
    </w:lvl>
    <w:lvl w:ilvl="1" w:tplc="81F03F5E" w:tentative="1">
      <w:start w:val="1"/>
      <w:numFmt w:val="lowerLetter"/>
      <w:lvlText w:val="%2."/>
      <w:lvlJc w:val="left"/>
      <w:pPr>
        <w:tabs>
          <w:tab w:val="num" w:pos="1440"/>
        </w:tabs>
        <w:ind w:left="1440" w:hanging="360"/>
      </w:pPr>
      <w:rPr>
        <w:rFonts w:cs="Times New Roman"/>
      </w:rPr>
    </w:lvl>
    <w:lvl w:ilvl="2" w:tplc="45DC5758" w:tentative="1">
      <w:start w:val="1"/>
      <w:numFmt w:val="lowerRoman"/>
      <w:lvlText w:val="%3."/>
      <w:lvlJc w:val="right"/>
      <w:pPr>
        <w:tabs>
          <w:tab w:val="num" w:pos="2160"/>
        </w:tabs>
        <w:ind w:left="2160" w:hanging="180"/>
      </w:pPr>
      <w:rPr>
        <w:rFonts w:cs="Times New Roman"/>
      </w:rPr>
    </w:lvl>
    <w:lvl w:ilvl="3" w:tplc="3D508AE6" w:tentative="1">
      <w:start w:val="1"/>
      <w:numFmt w:val="decimal"/>
      <w:lvlText w:val="%4."/>
      <w:lvlJc w:val="left"/>
      <w:pPr>
        <w:tabs>
          <w:tab w:val="num" w:pos="2880"/>
        </w:tabs>
        <w:ind w:left="2880" w:hanging="360"/>
      </w:pPr>
      <w:rPr>
        <w:rFonts w:cs="Times New Roman"/>
      </w:rPr>
    </w:lvl>
    <w:lvl w:ilvl="4" w:tplc="1598B24E" w:tentative="1">
      <w:start w:val="1"/>
      <w:numFmt w:val="lowerLetter"/>
      <w:lvlText w:val="%5."/>
      <w:lvlJc w:val="left"/>
      <w:pPr>
        <w:tabs>
          <w:tab w:val="num" w:pos="3600"/>
        </w:tabs>
        <w:ind w:left="3600" w:hanging="360"/>
      </w:pPr>
      <w:rPr>
        <w:rFonts w:cs="Times New Roman"/>
      </w:rPr>
    </w:lvl>
    <w:lvl w:ilvl="5" w:tplc="F468C790" w:tentative="1">
      <w:start w:val="1"/>
      <w:numFmt w:val="lowerRoman"/>
      <w:lvlText w:val="%6."/>
      <w:lvlJc w:val="right"/>
      <w:pPr>
        <w:tabs>
          <w:tab w:val="num" w:pos="4320"/>
        </w:tabs>
        <w:ind w:left="4320" w:hanging="180"/>
      </w:pPr>
      <w:rPr>
        <w:rFonts w:cs="Times New Roman"/>
      </w:rPr>
    </w:lvl>
    <w:lvl w:ilvl="6" w:tplc="531E2918" w:tentative="1">
      <w:start w:val="1"/>
      <w:numFmt w:val="decimal"/>
      <w:lvlText w:val="%7."/>
      <w:lvlJc w:val="left"/>
      <w:pPr>
        <w:tabs>
          <w:tab w:val="num" w:pos="5040"/>
        </w:tabs>
        <w:ind w:left="5040" w:hanging="360"/>
      </w:pPr>
      <w:rPr>
        <w:rFonts w:cs="Times New Roman"/>
      </w:rPr>
    </w:lvl>
    <w:lvl w:ilvl="7" w:tplc="D7AEEF1C" w:tentative="1">
      <w:start w:val="1"/>
      <w:numFmt w:val="lowerLetter"/>
      <w:lvlText w:val="%8."/>
      <w:lvlJc w:val="left"/>
      <w:pPr>
        <w:tabs>
          <w:tab w:val="num" w:pos="5760"/>
        </w:tabs>
        <w:ind w:left="5760" w:hanging="360"/>
      </w:pPr>
      <w:rPr>
        <w:rFonts w:cs="Times New Roman"/>
      </w:rPr>
    </w:lvl>
    <w:lvl w:ilvl="8" w:tplc="A85C5452" w:tentative="1">
      <w:start w:val="1"/>
      <w:numFmt w:val="lowerRoman"/>
      <w:lvlText w:val="%9."/>
      <w:lvlJc w:val="right"/>
      <w:pPr>
        <w:tabs>
          <w:tab w:val="num" w:pos="6480"/>
        </w:tabs>
        <w:ind w:left="6480" w:hanging="180"/>
      </w:pPr>
      <w:rPr>
        <w:rFonts w:cs="Times New Roman"/>
      </w:rPr>
    </w:lvl>
  </w:abstractNum>
  <w:abstractNum w:abstractNumId="5" w15:restartNumberingAfterBreak="0">
    <w:nsid w:val="25DC15EE"/>
    <w:multiLevelType w:val="multilevel"/>
    <w:tmpl w:val="E7206966"/>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96300F9"/>
    <w:multiLevelType w:val="hybridMultilevel"/>
    <w:tmpl w:val="D0F4BD28"/>
    <w:lvl w:ilvl="0" w:tplc="47D65AF8">
      <w:start w:val="1"/>
      <w:numFmt w:val="decimal"/>
      <w:lvlText w:val="(%1)"/>
      <w:lvlJc w:val="left"/>
      <w:pPr>
        <w:tabs>
          <w:tab w:val="num" w:pos="1440"/>
        </w:tabs>
        <w:ind w:left="1440" w:hanging="720"/>
      </w:pPr>
      <w:rPr>
        <w:rFonts w:ascii="Arial" w:hAnsi="Arial" w:cs="Arial" w:hint="default"/>
        <w:sz w:val="22"/>
      </w:rPr>
    </w:lvl>
    <w:lvl w:ilvl="1" w:tplc="3AC05F4E" w:tentative="1">
      <w:start w:val="1"/>
      <w:numFmt w:val="lowerLetter"/>
      <w:lvlText w:val="%2."/>
      <w:lvlJc w:val="left"/>
      <w:pPr>
        <w:tabs>
          <w:tab w:val="num" w:pos="1800"/>
        </w:tabs>
        <w:ind w:left="1800" w:hanging="360"/>
      </w:pPr>
      <w:rPr>
        <w:rFonts w:cs="Times New Roman"/>
      </w:rPr>
    </w:lvl>
    <w:lvl w:ilvl="2" w:tplc="90DA7DEE" w:tentative="1">
      <w:start w:val="1"/>
      <w:numFmt w:val="lowerRoman"/>
      <w:lvlText w:val="%3."/>
      <w:lvlJc w:val="right"/>
      <w:pPr>
        <w:tabs>
          <w:tab w:val="num" w:pos="2520"/>
        </w:tabs>
        <w:ind w:left="2520" w:hanging="180"/>
      </w:pPr>
      <w:rPr>
        <w:rFonts w:cs="Times New Roman"/>
      </w:rPr>
    </w:lvl>
    <w:lvl w:ilvl="3" w:tplc="B27838E4" w:tentative="1">
      <w:start w:val="1"/>
      <w:numFmt w:val="decimal"/>
      <w:lvlText w:val="%4."/>
      <w:lvlJc w:val="left"/>
      <w:pPr>
        <w:tabs>
          <w:tab w:val="num" w:pos="3240"/>
        </w:tabs>
        <w:ind w:left="3240" w:hanging="360"/>
      </w:pPr>
      <w:rPr>
        <w:rFonts w:cs="Times New Roman"/>
      </w:rPr>
    </w:lvl>
    <w:lvl w:ilvl="4" w:tplc="F0A44370" w:tentative="1">
      <w:start w:val="1"/>
      <w:numFmt w:val="lowerLetter"/>
      <w:lvlText w:val="%5."/>
      <w:lvlJc w:val="left"/>
      <w:pPr>
        <w:tabs>
          <w:tab w:val="num" w:pos="3960"/>
        </w:tabs>
        <w:ind w:left="3960" w:hanging="360"/>
      </w:pPr>
      <w:rPr>
        <w:rFonts w:cs="Times New Roman"/>
      </w:rPr>
    </w:lvl>
    <w:lvl w:ilvl="5" w:tplc="7C9ABF02" w:tentative="1">
      <w:start w:val="1"/>
      <w:numFmt w:val="lowerRoman"/>
      <w:lvlText w:val="%6."/>
      <w:lvlJc w:val="right"/>
      <w:pPr>
        <w:tabs>
          <w:tab w:val="num" w:pos="4680"/>
        </w:tabs>
        <w:ind w:left="4680" w:hanging="180"/>
      </w:pPr>
      <w:rPr>
        <w:rFonts w:cs="Times New Roman"/>
      </w:rPr>
    </w:lvl>
    <w:lvl w:ilvl="6" w:tplc="1FE611FC" w:tentative="1">
      <w:start w:val="1"/>
      <w:numFmt w:val="decimal"/>
      <w:lvlText w:val="%7."/>
      <w:lvlJc w:val="left"/>
      <w:pPr>
        <w:tabs>
          <w:tab w:val="num" w:pos="5400"/>
        </w:tabs>
        <w:ind w:left="5400" w:hanging="360"/>
      </w:pPr>
      <w:rPr>
        <w:rFonts w:cs="Times New Roman"/>
      </w:rPr>
    </w:lvl>
    <w:lvl w:ilvl="7" w:tplc="501008C0" w:tentative="1">
      <w:start w:val="1"/>
      <w:numFmt w:val="lowerLetter"/>
      <w:lvlText w:val="%8."/>
      <w:lvlJc w:val="left"/>
      <w:pPr>
        <w:tabs>
          <w:tab w:val="num" w:pos="6120"/>
        </w:tabs>
        <w:ind w:left="6120" w:hanging="360"/>
      </w:pPr>
      <w:rPr>
        <w:rFonts w:cs="Times New Roman"/>
      </w:rPr>
    </w:lvl>
    <w:lvl w:ilvl="8" w:tplc="1F2C4308" w:tentative="1">
      <w:start w:val="1"/>
      <w:numFmt w:val="lowerRoman"/>
      <w:lvlText w:val="%9."/>
      <w:lvlJc w:val="right"/>
      <w:pPr>
        <w:tabs>
          <w:tab w:val="num" w:pos="6840"/>
        </w:tabs>
        <w:ind w:left="6840" w:hanging="180"/>
      </w:pPr>
      <w:rPr>
        <w:rFonts w:cs="Times New Roman"/>
      </w:rPr>
    </w:lvl>
  </w:abstractNum>
  <w:abstractNum w:abstractNumId="7" w15:restartNumberingAfterBreak="0">
    <w:nsid w:val="2C1D1057"/>
    <w:multiLevelType w:val="hybridMultilevel"/>
    <w:tmpl w:val="254E9D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3E6F25"/>
    <w:multiLevelType w:val="multilevel"/>
    <w:tmpl w:val="6F323276"/>
    <w:lvl w:ilvl="0">
      <w:start w:val="1"/>
      <w:numFmt w:val="decimal"/>
      <w:lvlText w:val="%1."/>
      <w:lvlJc w:val="left"/>
      <w:pPr>
        <w:tabs>
          <w:tab w:val="num" w:pos="360"/>
        </w:tabs>
        <w:ind w:left="360" w:hanging="360"/>
      </w:pPr>
      <w:rPr>
        <w:rFonts w:cs="Times New Roman" w:hint="default"/>
        <w:b w:val="0"/>
      </w:rPr>
    </w:lvl>
    <w:lvl w:ilvl="1">
      <w:start w:val="3"/>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9" w15:restartNumberingAfterBreak="0">
    <w:nsid w:val="61FB1A21"/>
    <w:multiLevelType w:val="hybridMultilevel"/>
    <w:tmpl w:val="8BACE4F6"/>
    <w:lvl w:ilvl="0" w:tplc="92148044">
      <w:start w:val="1"/>
      <w:numFmt w:val="decimal"/>
      <w:lvlText w:val="(%1)"/>
      <w:lvlJc w:val="left"/>
      <w:pPr>
        <w:tabs>
          <w:tab w:val="num" w:pos="1080"/>
        </w:tabs>
        <w:ind w:left="1080" w:hanging="720"/>
      </w:pPr>
      <w:rPr>
        <w:rFonts w:ascii="Arial" w:hAnsi="Arial" w:cs="Arial" w:hint="default"/>
        <w:sz w:val="22"/>
      </w:rPr>
    </w:lvl>
    <w:lvl w:ilvl="1" w:tplc="296C68BA" w:tentative="1">
      <w:start w:val="1"/>
      <w:numFmt w:val="lowerLetter"/>
      <w:lvlText w:val="%2."/>
      <w:lvlJc w:val="left"/>
      <w:pPr>
        <w:tabs>
          <w:tab w:val="num" w:pos="1440"/>
        </w:tabs>
        <w:ind w:left="1440" w:hanging="360"/>
      </w:pPr>
      <w:rPr>
        <w:rFonts w:cs="Times New Roman"/>
      </w:rPr>
    </w:lvl>
    <w:lvl w:ilvl="2" w:tplc="0D049FA4" w:tentative="1">
      <w:start w:val="1"/>
      <w:numFmt w:val="lowerRoman"/>
      <w:lvlText w:val="%3."/>
      <w:lvlJc w:val="right"/>
      <w:pPr>
        <w:tabs>
          <w:tab w:val="num" w:pos="2160"/>
        </w:tabs>
        <w:ind w:left="2160" w:hanging="180"/>
      </w:pPr>
      <w:rPr>
        <w:rFonts w:cs="Times New Roman"/>
      </w:rPr>
    </w:lvl>
    <w:lvl w:ilvl="3" w:tplc="0480E9F4" w:tentative="1">
      <w:start w:val="1"/>
      <w:numFmt w:val="decimal"/>
      <w:lvlText w:val="%4."/>
      <w:lvlJc w:val="left"/>
      <w:pPr>
        <w:tabs>
          <w:tab w:val="num" w:pos="2880"/>
        </w:tabs>
        <w:ind w:left="2880" w:hanging="360"/>
      </w:pPr>
      <w:rPr>
        <w:rFonts w:cs="Times New Roman"/>
      </w:rPr>
    </w:lvl>
    <w:lvl w:ilvl="4" w:tplc="D5C8E944" w:tentative="1">
      <w:start w:val="1"/>
      <w:numFmt w:val="lowerLetter"/>
      <w:lvlText w:val="%5."/>
      <w:lvlJc w:val="left"/>
      <w:pPr>
        <w:tabs>
          <w:tab w:val="num" w:pos="3600"/>
        </w:tabs>
        <w:ind w:left="3600" w:hanging="360"/>
      </w:pPr>
      <w:rPr>
        <w:rFonts w:cs="Times New Roman"/>
      </w:rPr>
    </w:lvl>
    <w:lvl w:ilvl="5" w:tplc="6C10FBEC" w:tentative="1">
      <w:start w:val="1"/>
      <w:numFmt w:val="lowerRoman"/>
      <w:lvlText w:val="%6."/>
      <w:lvlJc w:val="right"/>
      <w:pPr>
        <w:tabs>
          <w:tab w:val="num" w:pos="4320"/>
        </w:tabs>
        <w:ind w:left="4320" w:hanging="180"/>
      </w:pPr>
      <w:rPr>
        <w:rFonts w:cs="Times New Roman"/>
      </w:rPr>
    </w:lvl>
    <w:lvl w:ilvl="6" w:tplc="1486AE72" w:tentative="1">
      <w:start w:val="1"/>
      <w:numFmt w:val="decimal"/>
      <w:lvlText w:val="%7."/>
      <w:lvlJc w:val="left"/>
      <w:pPr>
        <w:tabs>
          <w:tab w:val="num" w:pos="5040"/>
        </w:tabs>
        <w:ind w:left="5040" w:hanging="360"/>
      </w:pPr>
      <w:rPr>
        <w:rFonts w:cs="Times New Roman"/>
      </w:rPr>
    </w:lvl>
    <w:lvl w:ilvl="7" w:tplc="E2D238C4" w:tentative="1">
      <w:start w:val="1"/>
      <w:numFmt w:val="lowerLetter"/>
      <w:lvlText w:val="%8."/>
      <w:lvlJc w:val="left"/>
      <w:pPr>
        <w:tabs>
          <w:tab w:val="num" w:pos="5760"/>
        </w:tabs>
        <w:ind w:left="5760" w:hanging="360"/>
      </w:pPr>
      <w:rPr>
        <w:rFonts w:cs="Times New Roman"/>
      </w:rPr>
    </w:lvl>
    <w:lvl w:ilvl="8" w:tplc="354869B6" w:tentative="1">
      <w:start w:val="1"/>
      <w:numFmt w:val="lowerRoman"/>
      <w:lvlText w:val="%9."/>
      <w:lvlJc w:val="right"/>
      <w:pPr>
        <w:tabs>
          <w:tab w:val="num" w:pos="6480"/>
        </w:tabs>
        <w:ind w:left="6480" w:hanging="180"/>
      </w:pPr>
      <w:rPr>
        <w:rFonts w:cs="Times New Roman"/>
      </w:rPr>
    </w:lvl>
  </w:abstractNum>
  <w:abstractNum w:abstractNumId="10" w15:restartNumberingAfterBreak="0">
    <w:nsid w:val="66297720"/>
    <w:multiLevelType w:val="hybridMultilevel"/>
    <w:tmpl w:val="D372435A"/>
    <w:lvl w:ilvl="0" w:tplc="89948014">
      <w:start w:val="1"/>
      <w:numFmt w:val="bullet"/>
      <w:lvlText w:val=""/>
      <w:lvlJc w:val="left"/>
      <w:pPr>
        <w:tabs>
          <w:tab w:val="num" w:pos="720"/>
        </w:tabs>
        <w:ind w:left="720" w:hanging="360"/>
      </w:pPr>
      <w:rPr>
        <w:rFonts w:ascii="Symbol" w:hAnsi="Symbol" w:hint="default"/>
        <w:sz w:val="20"/>
      </w:rPr>
    </w:lvl>
    <w:lvl w:ilvl="1" w:tplc="FB10351C" w:tentative="1">
      <w:start w:val="1"/>
      <w:numFmt w:val="bullet"/>
      <w:lvlText w:val="o"/>
      <w:lvlJc w:val="left"/>
      <w:pPr>
        <w:tabs>
          <w:tab w:val="num" w:pos="1440"/>
        </w:tabs>
        <w:ind w:left="1440" w:hanging="360"/>
      </w:pPr>
      <w:rPr>
        <w:rFonts w:ascii="Courier New" w:hAnsi="Courier New" w:hint="default"/>
        <w:sz w:val="20"/>
      </w:rPr>
    </w:lvl>
    <w:lvl w:ilvl="2" w:tplc="C5A252A6" w:tentative="1">
      <w:start w:val="1"/>
      <w:numFmt w:val="bullet"/>
      <w:lvlText w:val=""/>
      <w:lvlJc w:val="left"/>
      <w:pPr>
        <w:tabs>
          <w:tab w:val="num" w:pos="2160"/>
        </w:tabs>
        <w:ind w:left="2160" w:hanging="360"/>
      </w:pPr>
      <w:rPr>
        <w:rFonts w:ascii="Wingdings" w:hAnsi="Wingdings" w:hint="default"/>
        <w:sz w:val="20"/>
      </w:rPr>
    </w:lvl>
    <w:lvl w:ilvl="3" w:tplc="3CCE2C4E" w:tentative="1">
      <w:start w:val="1"/>
      <w:numFmt w:val="bullet"/>
      <w:lvlText w:val=""/>
      <w:lvlJc w:val="left"/>
      <w:pPr>
        <w:tabs>
          <w:tab w:val="num" w:pos="2880"/>
        </w:tabs>
        <w:ind w:left="2880" w:hanging="360"/>
      </w:pPr>
      <w:rPr>
        <w:rFonts w:ascii="Wingdings" w:hAnsi="Wingdings" w:hint="default"/>
        <w:sz w:val="20"/>
      </w:rPr>
    </w:lvl>
    <w:lvl w:ilvl="4" w:tplc="2168E724" w:tentative="1">
      <w:start w:val="1"/>
      <w:numFmt w:val="bullet"/>
      <w:lvlText w:val=""/>
      <w:lvlJc w:val="left"/>
      <w:pPr>
        <w:tabs>
          <w:tab w:val="num" w:pos="3600"/>
        </w:tabs>
        <w:ind w:left="3600" w:hanging="360"/>
      </w:pPr>
      <w:rPr>
        <w:rFonts w:ascii="Wingdings" w:hAnsi="Wingdings" w:hint="default"/>
        <w:sz w:val="20"/>
      </w:rPr>
    </w:lvl>
    <w:lvl w:ilvl="5" w:tplc="F25651F8" w:tentative="1">
      <w:start w:val="1"/>
      <w:numFmt w:val="bullet"/>
      <w:lvlText w:val=""/>
      <w:lvlJc w:val="left"/>
      <w:pPr>
        <w:tabs>
          <w:tab w:val="num" w:pos="4320"/>
        </w:tabs>
        <w:ind w:left="4320" w:hanging="360"/>
      </w:pPr>
      <w:rPr>
        <w:rFonts w:ascii="Wingdings" w:hAnsi="Wingdings" w:hint="default"/>
        <w:sz w:val="20"/>
      </w:rPr>
    </w:lvl>
    <w:lvl w:ilvl="6" w:tplc="1368F560" w:tentative="1">
      <w:start w:val="1"/>
      <w:numFmt w:val="bullet"/>
      <w:lvlText w:val=""/>
      <w:lvlJc w:val="left"/>
      <w:pPr>
        <w:tabs>
          <w:tab w:val="num" w:pos="5040"/>
        </w:tabs>
        <w:ind w:left="5040" w:hanging="360"/>
      </w:pPr>
      <w:rPr>
        <w:rFonts w:ascii="Wingdings" w:hAnsi="Wingdings" w:hint="default"/>
        <w:sz w:val="20"/>
      </w:rPr>
    </w:lvl>
    <w:lvl w:ilvl="7" w:tplc="015213E4" w:tentative="1">
      <w:start w:val="1"/>
      <w:numFmt w:val="bullet"/>
      <w:lvlText w:val=""/>
      <w:lvlJc w:val="left"/>
      <w:pPr>
        <w:tabs>
          <w:tab w:val="num" w:pos="5760"/>
        </w:tabs>
        <w:ind w:left="5760" w:hanging="360"/>
      </w:pPr>
      <w:rPr>
        <w:rFonts w:ascii="Wingdings" w:hAnsi="Wingdings" w:hint="default"/>
        <w:sz w:val="20"/>
      </w:rPr>
    </w:lvl>
    <w:lvl w:ilvl="8" w:tplc="675EFC2E"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4913A2"/>
    <w:multiLevelType w:val="hybridMultilevel"/>
    <w:tmpl w:val="AE323184"/>
    <w:lvl w:ilvl="0" w:tplc="040E0690">
      <w:start w:val="1"/>
      <w:numFmt w:val="decimal"/>
      <w:lvlText w:val="%1."/>
      <w:lvlJc w:val="left"/>
      <w:pPr>
        <w:ind w:left="1060" w:hanging="360"/>
      </w:pPr>
    </w:lvl>
    <w:lvl w:ilvl="1" w:tplc="44024E20">
      <w:start w:val="1"/>
      <w:numFmt w:val="decimal"/>
      <w:lvlText w:val="%2."/>
      <w:lvlJc w:val="left"/>
      <w:pPr>
        <w:ind w:left="1060" w:hanging="360"/>
      </w:pPr>
    </w:lvl>
    <w:lvl w:ilvl="2" w:tplc="A0729BC8">
      <w:start w:val="1"/>
      <w:numFmt w:val="decimal"/>
      <w:lvlText w:val="%3."/>
      <w:lvlJc w:val="left"/>
      <w:pPr>
        <w:ind w:left="1060" w:hanging="360"/>
      </w:pPr>
    </w:lvl>
    <w:lvl w:ilvl="3" w:tplc="D130DD9E">
      <w:start w:val="1"/>
      <w:numFmt w:val="decimal"/>
      <w:lvlText w:val="%4."/>
      <w:lvlJc w:val="left"/>
      <w:pPr>
        <w:ind w:left="1060" w:hanging="360"/>
      </w:pPr>
    </w:lvl>
    <w:lvl w:ilvl="4" w:tplc="9F96AA10">
      <w:start w:val="1"/>
      <w:numFmt w:val="decimal"/>
      <w:lvlText w:val="%5."/>
      <w:lvlJc w:val="left"/>
      <w:pPr>
        <w:ind w:left="1060" w:hanging="360"/>
      </w:pPr>
    </w:lvl>
    <w:lvl w:ilvl="5" w:tplc="C77A1DB8">
      <w:start w:val="1"/>
      <w:numFmt w:val="decimal"/>
      <w:lvlText w:val="%6."/>
      <w:lvlJc w:val="left"/>
      <w:pPr>
        <w:ind w:left="1060" w:hanging="360"/>
      </w:pPr>
    </w:lvl>
    <w:lvl w:ilvl="6" w:tplc="60BC923A">
      <w:start w:val="1"/>
      <w:numFmt w:val="decimal"/>
      <w:lvlText w:val="%7."/>
      <w:lvlJc w:val="left"/>
      <w:pPr>
        <w:ind w:left="1060" w:hanging="360"/>
      </w:pPr>
    </w:lvl>
    <w:lvl w:ilvl="7" w:tplc="5B427644">
      <w:start w:val="1"/>
      <w:numFmt w:val="decimal"/>
      <w:lvlText w:val="%8."/>
      <w:lvlJc w:val="left"/>
      <w:pPr>
        <w:ind w:left="1060" w:hanging="360"/>
      </w:pPr>
    </w:lvl>
    <w:lvl w:ilvl="8" w:tplc="A1B41AE8">
      <w:start w:val="1"/>
      <w:numFmt w:val="decimal"/>
      <w:lvlText w:val="%9."/>
      <w:lvlJc w:val="left"/>
      <w:pPr>
        <w:ind w:left="1060" w:hanging="360"/>
      </w:pPr>
    </w:lvl>
  </w:abstractNum>
  <w:abstractNum w:abstractNumId="12" w15:restartNumberingAfterBreak="0">
    <w:nsid w:val="73BC480A"/>
    <w:multiLevelType w:val="hybridMultilevel"/>
    <w:tmpl w:val="B6404C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742003">
    <w:abstractNumId w:val="8"/>
  </w:num>
  <w:num w:numId="2" w16cid:durableId="1355576263">
    <w:abstractNumId w:val="11"/>
  </w:num>
  <w:num w:numId="3" w16cid:durableId="1563248054">
    <w:abstractNumId w:val="10"/>
  </w:num>
  <w:num w:numId="4" w16cid:durableId="1578513243">
    <w:abstractNumId w:val="0"/>
  </w:num>
  <w:num w:numId="5" w16cid:durableId="1591771032">
    <w:abstractNumId w:val="12"/>
  </w:num>
  <w:num w:numId="6" w16cid:durableId="1669944857">
    <w:abstractNumId w:val="2"/>
  </w:num>
  <w:num w:numId="7" w16cid:durableId="1798790414">
    <w:abstractNumId w:val="6"/>
  </w:num>
  <w:num w:numId="8" w16cid:durableId="1819347071">
    <w:abstractNumId w:val="3"/>
  </w:num>
  <w:num w:numId="9" w16cid:durableId="1890649850">
    <w:abstractNumId w:val="5"/>
  </w:num>
  <w:num w:numId="10" w16cid:durableId="1960261311">
    <w:abstractNumId w:val="9"/>
  </w:num>
  <w:num w:numId="11" w16cid:durableId="37702949">
    <w:abstractNumId w:val="7"/>
  </w:num>
  <w:num w:numId="12" w16cid:durableId="646129392">
    <w:abstractNumId w:val="1"/>
  </w:num>
  <w:num w:numId="13" w16cid:durableId="705182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E794084-83B0-4B46-BD37-262E0589DDB9}"/>
    <w:docVar w:name="dgnword-eventsink" w:val="507668536"/>
  </w:docVars>
  <w:rsids>
    <w:rsidRoot w:val="00234FB1"/>
    <w:rsid w:val="000069B3"/>
    <w:rsid w:val="00015BCA"/>
    <w:rsid w:val="0002135C"/>
    <w:rsid w:val="00024651"/>
    <w:rsid w:val="000254EB"/>
    <w:rsid w:val="000302A6"/>
    <w:rsid w:val="000316FA"/>
    <w:rsid w:val="000326B8"/>
    <w:rsid w:val="0003729E"/>
    <w:rsid w:val="000405FA"/>
    <w:rsid w:val="0004094A"/>
    <w:rsid w:val="00043520"/>
    <w:rsid w:val="00044597"/>
    <w:rsid w:val="00044757"/>
    <w:rsid w:val="00045FDD"/>
    <w:rsid w:val="0005158A"/>
    <w:rsid w:val="000551BC"/>
    <w:rsid w:val="000573D3"/>
    <w:rsid w:val="00060008"/>
    <w:rsid w:val="000605E2"/>
    <w:rsid w:val="00065A38"/>
    <w:rsid w:val="00065D13"/>
    <w:rsid w:val="00072A33"/>
    <w:rsid w:val="00077220"/>
    <w:rsid w:val="000805C1"/>
    <w:rsid w:val="00081D12"/>
    <w:rsid w:val="0008207D"/>
    <w:rsid w:val="00084C7C"/>
    <w:rsid w:val="00086E00"/>
    <w:rsid w:val="000879A2"/>
    <w:rsid w:val="00090261"/>
    <w:rsid w:val="000948C4"/>
    <w:rsid w:val="000948D8"/>
    <w:rsid w:val="000953D2"/>
    <w:rsid w:val="00097605"/>
    <w:rsid w:val="000978D3"/>
    <w:rsid w:val="000A1372"/>
    <w:rsid w:val="000A5C6E"/>
    <w:rsid w:val="000B1AA7"/>
    <w:rsid w:val="000B2A4E"/>
    <w:rsid w:val="000B3218"/>
    <w:rsid w:val="000B3BDC"/>
    <w:rsid w:val="000B5149"/>
    <w:rsid w:val="000B5537"/>
    <w:rsid w:val="000B795C"/>
    <w:rsid w:val="000B7B75"/>
    <w:rsid w:val="000C13A6"/>
    <w:rsid w:val="000C704A"/>
    <w:rsid w:val="000C78D5"/>
    <w:rsid w:val="000D2FE4"/>
    <w:rsid w:val="000D4BA9"/>
    <w:rsid w:val="000D57F1"/>
    <w:rsid w:val="000D60D4"/>
    <w:rsid w:val="000D615D"/>
    <w:rsid w:val="000E1526"/>
    <w:rsid w:val="000E163D"/>
    <w:rsid w:val="000E46B9"/>
    <w:rsid w:val="000E609B"/>
    <w:rsid w:val="000E6789"/>
    <w:rsid w:val="000F2E00"/>
    <w:rsid w:val="000F4B2D"/>
    <w:rsid w:val="000F7542"/>
    <w:rsid w:val="0010029F"/>
    <w:rsid w:val="00100986"/>
    <w:rsid w:val="00104C97"/>
    <w:rsid w:val="001073E2"/>
    <w:rsid w:val="00112EA1"/>
    <w:rsid w:val="00120BB2"/>
    <w:rsid w:val="00121945"/>
    <w:rsid w:val="001243E5"/>
    <w:rsid w:val="00125A40"/>
    <w:rsid w:val="00130A15"/>
    <w:rsid w:val="00130F0F"/>
    <w:rsid w:val="001354E4"/>
    <w:rsid w:val="00136013"/>
    <w:rsid w:val="00137FF8"/>
    <w:rsid w:val="001402B6"/>
    <w:rsid w:val="001419B0"/>
    <w:rsid w:val="001427BB"/>
    <w:rsid w:val="00146253"/>
    <w:rsid w:val="00147555"/>
    <w:rsid w:val="00150EA5"/>
    <w:rsid w:val="00152575"/>
    <w:rsid w:val="0015284A"/>
    <w:rsid w:val="00154509"/>
    <w:rsid w:val="00154C94"/>
    <w:rsid w:val="00156FE0"/>
    <w:rsid w:val="00157922"/>
    <w:rsid w:val="001612F6"/>
    <w:rsid w:val="0016248E"/>
    <w:rsid w:val="00163B86"/>
    <w:rsid w:val="001707F6"/>
    <w:rsid w:val="001711AA"/>
    <w:rsid w:val="001715B3"/>
    <w:rsid w:val="00171AE8"/>
    <w:rsid w:val="00173016"/>
    <w:rsid w:val="001745F3"/>
    <w:rsid w:val="00174C6A"/>
    <w:rsid w:val="0017692C"/>
    <w:rsid w:val="001774E7"/>
    <w:rsid w:val="001809A6"/>
    <w:rsid w:val="00180D6A"/>
    <w:rsid w:val="001812EC"/>
    <w:rsid w:val="00182949"/>
    <w:rsid w:val="00187493"/>
    <w:rsid w:val="0019526A"/>
    <w:rsid w:val="00196F1C"/>
    <w:rsid w:val="00197154"/>
    <w:rsid w:val="001A70C9"/>
    <w:rsid w:val="001A7AC7"/>
    <w:rsid w:val="001B3DF4"/>
    <w:rsid w:val="001B4516"/>
    <w:rsid w:val="001C390E"/>
    <w:rsid w:val="001C5B87"/>
    <w:rsid w:val="001D2373"/>
    <w:rsid w:val="001E068E"/>
    <w:rsid w:val="001E0BA1"/>
    <w:rsid w:val="001E14D0"/>
    <w:rsid w:val="001E580C"/>
    <w:rsid w:val="001E6C4B"/>
    <w:rsid w:val="001E721C"/>
    <w:rsid w:val="001E76B1"/>
    <w:rsid w:val="001F15BC"/>
    <w:rsid w:val="001F39F1"/>
    <w:rsid w:val="001F4753"/>
    <w:rsid w:val="002005AF"/>
    <w:rsid w:val="0020635C"/>
    <w:rsid w:val="00211937"/>
    <w:rsid w:val="002260BA"/>
    <w:rsid w:val="0023001E"/>
    <w:rsid w:val="00231793"/>
    <w:rsid w:val="00233201"/>
    <w:rsid w:val="002333FF"/>
    <w:rsid w:val="00234FB1"/>
    <w:rsid w:val="00236481"/>
    <w:rsid w:val="00236783"/>
    <w:rsid w:val="00237348"/>
    <w:rsid w:val="0024161B"/>
    <w:rsid w:val="00242C7C"/>
    <w:rsid w:val="0024599A"/>
    <w:rsid w:val="00247C8D"/>
    <w:rsid w:val="00253C3C"/>
    <w:rsid w:val="00256A7C"/>
    <w:rsid w:val="00256B7C"/>
    <w:rsid w:val="00270EE6"/>
    <w:rsid w:val="002721D9"/>
    <w:rsid w:val="00274F27"/>
    <w:rsid w:val="00276566"/>
    <w:rsid w:val="002833CE"/>
    <w:rsid w:val="0028396A"/>
    <w:rsid w:val="0028432D"/>
    <w:rsid w:val="00285AE4"/>
    <w:rsid w:val="00287DC2"/>
    <w:rsid w:val="00291177"/>
    <w:rsid w:val="00294784"/>
    <w:rsid w:val="00295CB5"/>
    <w:rsid w:val="00296749"/>
    <w:rsid w:val="002A18EF"/>
    <w:rsid w:val="002A1968"/>
    <w:rsid w:val="002A2C5F"/>
    <w:rsid w:val="002A2FDA"/>
    <w:rsid w:val="002A4F2D"/>
    <w:rsid w:val="002A7FCA"/>
    <w:rsid w:val="002B1100"/>
    <w:rsid w:val="002B2751"/>
    <w:rsid w:val="002B3802"/>
    <w:rsid w:val="002B5188"/>
    <w:rsid w:val="002B78FF"/>
    <w:rsid w:val="002C1DA7"/>
    <w:rsid w:val="002C5DE7"/>
    <w:rsid w:val="002D1DA7"/>
    <w:rsid w:val="002D588A"/>
    <w:rsid w:val="002D6226"/>
    <w:rsid w:val="002D7403"/>
    <w:rsid w:val="002E0158"/>
    <w:rsid w:val="002E0EA9"/>
    <w:rsid w:val="002E1A16"/>
    <w:rsid w:val="002E5C05"/>
    <w:rsid w:val="002E5E26"/>
    <w:rsid w:val="002F245F"/>
    <w:rsid w:val="00303CCB"/>
    <w:rsid w:val="00303F59"/>
    <w:rsid w:val="00304244"/>
    <w:rsid w:val="00304ECD"/>
    <w:rsid w:val="00305016"/>
    <w:rsid w:val="00311A31"/>
    <w:rsid w:val="00317258"/>
    <w:rsid w:val="00320E29"/>
    <w:rsid w:val="00321419"/>
    <w:rsid w:val="0032263F"/>
    <w:rsid w:val="0032419D"/>
    <w:rsid w:val="0032727F"/>
    <w:rsid w:val="00330867"/>
    <w:rsid w:val="00330C1E"/>
    <w:rsid w:val="00331F2C"/>
    <w:rsid w:val="00332704"/>
    <w:rsid w:val="00346B05"/>
    <w:rsid w:val="003479E5"/>
    <w:rsid w:val="00350013"/>
    <w:rsid w:val="00351656"/>
    <w:rsid w:val="003606C1"/>
    <w:rsid w:val="0036178C"/>
    <w:rsid w:val="0036325A"/>
    <w:rsid w:val="0036326F"/>
    <w:rsid w:val="00363B00"/>
    <w:rsid w:val="0036427A"/>
    <w:rsid w:val="00365C1F"/>
    <w:rsid w:val="003717BB"/>
    <w:rsid w:val="00372C83"/>
    <w:rsid w:val="003736BC"/>
    <w:rsid w:val="00375063"/>
    <w:rsid w:val="00375C9B"/>
    <w:rsid w:val="00383A87"/>
    <w:rsid w:val="00383D91"/>
    <w:rsid w:val="00384D20"/>
    <w:rsid w:val="00392AAA"/>
    <w:rsid w:val="00392C30"/>
    <w:rsid w:val="0039319F"/>
    <w:rsid w:val="003938FE"/>
    <w:rsid w:val="00394E09"/>
    <w:rsid w:val="003A19A2"/>
    <w:rsid w:val="003A1A3D"/>
    <w:rsid w:val="003A34A5"/>
    <w:rsid w:val="003A4E02"/>
    <w:rsid w:val="003A63F1"/>
    <w:rsid w:val="003A6973"/>
    <w:rsid w:val="003B2E05"/>
    <w:rsid w:val="003B39FA"/>
    <w:rsid w:val="003B765F"/>
    <w:rsid w:val="003C053F"/>
    <w:rsid w:val="003C0A4A"/>
    <w:rsid w:val="003C0C9D"/>
    <w:rsid w:val="003C3733"/>
    <w:rsid w:val="003D20B9"/>
    <w:rsid w:val="003D3DBB"/>
    <w:rsid w:val="003D3FBF"/>
    <w:rsid w:val="003D45A8"/>
    <w:rsid w:val="003D6BED"/>
    <w:rsid w:val="003D6FFE"/>
    <w:rsid w:val="003E2082"/>
    <w:rsid w:val="003E21E9"/>
    <w:rsid w:val="003E4D33"/>
    <w:rsid w:val="003E5098"/>
    <w:rsid w:val="003E702D"/>
    <w:rsid w:val="003E70C6"/>
    <w:rsid w:val="003F0647"/>
    <w:rsid w:val="003F09F1"/>
    <w:rsid w:val="003F24C1"/>
    <w:rsid w:val="003F2692"/>
    <w:rsid w:val="003F46C9"/>
    <w:rsid w:val="003F4E40"/>
    <w:rsid w:val="003F7E9B"/>
    <w:rsid w:val="00405A37"/>
    <w:rsid w:val="00405AE8"/>
    <w:rsid w:val="0040610F"/>
    <w:rsid w:val="0041051B"/>
    <w:rsid w:val="00411231"/>
    <w:rsid w:val="0041156E"/>
    <w:rsid w:val="004132D6"/>
    <w:rsid w:val="0041404B"/>
    <w:rsid w:val="0041411B"/>
    <w:rsid w:val="004154FD"/>
    <w:rsid w:val="004204A2"/>
    <w:rsid w:val="004226DE"/>
    <w:rsid w:val="00422874"/>
    <w:rsid w:val="00423C44"/>
    <w:rsid w:val="00426CFC"/>
    <w:rsid w:val="00427844"/>
    <w:rsid w:val="004314F1"/>
    <w:rsid w:val="004338C4"/>
    <w:rsid w:val="00435583"/>
    <w:rsid w:val="00436EF3"/>
    <w:rsid w:val="00442726"/>
    <w:rsid w:val="0044343E"/>
    <w:rsid w:val="00444461"/>
    <w:rsid w:val="00452C61"/>
    <w:rsid w:val="004546A2"/>
    <w:rsid w:val="00454847"/>
    <w:rsid w:val="00460795"/>
    <w:rsid w:val="004637FD"/>
    <w:rsid w:val="004642E2"/>
    <w:rsid w:val="00466931"/>
    <w:rsid w:val="00467246"/>
    <w:rsid w:val="00470878"/>
    <w:rsid w:val="00471191"/>
    <w:rsid w:val="004736E4"/>
    <w:rsid w:val="0047598A"/>
    <w:rsid w:val="00475C32"/>
    <w:rsid w:val="00480832"/>
    <w:rsid w:val="00483CB0"/>
    <w:rsid w:val="004869A9"/>
    <w:rsid w:val="00487984"/>
    <w:rsid w:val="00492AB4"/>
    <w:rsid w:val="00494C0F"/>
    <w:rsid w:val="004956D9"/>
    <w:rsid w:val="00496D34"/>
    <w:rsid w:val="00497E3E"/>
    <w:rsid w:val="004A1BC9"/>
    <w:rsid w:val="004A6C78"/>
    <w:rsid w:val="004B1A46"/>
    <w:rsid w:val="004B3438"/>
    <w:rsid w:val="004B624B"/>
    <w:rsid w:val="004B6C59"/>
    <w:rsid w:val="004C3F7B"/>
    <w:rsid w:val="004C4F82"/>
    <w:rsid w:val="004D2494"/>
    <w:rsid w:val="004D546F"/>
    <w:rsid w:val="004D6872"/>
    <w:rsid w:val="004D79DD"/>
    <w:rsid w:val="004D7F37"/>
    <w:rsid w:val="004E155E"/>
    <w:rsid w:val="004E1D02"/>
    <w:rsid w:val="004E76F2"/>
    <w:rsid w:val="004F014F"/>
    <w:rsid w:val="004F0CBE"/>
    <w:rsid w:val="004F0D3C"/>
    <w:rsid w:val="004F1D00"/>
    <w:rsid w:val="004F31D9"/>
    <w:rsid w:val="004F344F"/>
    <w:rsid w:val="004F48B9"/>
    <w:rsid w:val="005045C1"/>
    <w:rsid w:val="005048CB"/>
    <w:rsid w:val="00504D2A"/>
    <w:rsid w:val="00504FB4"/>
    <w:rsid w:val="0050526A"/>
    <w:rsid w:val="00506472"/>
    <w:rsid w:val="0051219A"/>
    <w:rsid w:val="005125E9"/>
    <w:rsid w:val="0051278A"/>
    <w:rsid w:val="00514929"/>
    <w:rsid w:val="00520490"/>
    <w:rsid w:val="005205BF"/>
    <w:rsid w:val="00522E37"/>
    <w:rsid w:val="00526234"/>
    <w:rsid w:val="00531739"/>
    <w:rsid w:val="00533A9F"/>
    <w:rsid w:val="0053693D"/>
    <w:rsid w:val="00541599"/>
    <w:rsid w:val="00541B64"/>
    <w:rsid w:val="00541D7C"/>
    <w:rsid w:val="00545B7A"/>
    <w:rsid w:val="00545C89"/>
    <w:rsid w:val="005524BC"/>
    <w:rsid w:val="005530A6"/>
    <w:rsid w:val="005569A4"/>
    <w:rsid w:val="00557E8F"/>
    <w:rsid w:val="00560A12"/>
    <w:rsid w:val="005617D7"/>
    <w:rsid w:val="005638EB"/>
    <w:rsid w:val="00565C12"/>
    <w:rsid w:val="005666A6"/>
    <w:rsid w:val="0057168E"/>
    <w:rsid w:val="00571D8E"/>
    <w:rsid w:val="00572E46"/>
    <w:rsid w:val="00574A31"/>
    <w:rsid w:val="0057537C"/>
    <w:rsid w:val="00576831"/>
    <w:rsid w:val="0058054E"/>
    <w:rsid w:val="00581804"/>
    <w:rsid w:val="00584B7B"/>
    <w:rsid w:val="00584B7D"/>
    <w:rsid w:val="0059032E"/>
    <w:rsid w:val="005944E4"/>
    <w:rsid w:val="00595203"/>
    <w:rsid w:val="00596F9A"/>
    <w:rsid w:val="00597D13"/>
    <w:rsid w:val="005A09A7"/>
    <w:rsid w:val="005A1133"/>
    <w:rsid w:val="005A5E3C"/>
    <w:rsid w:val="005B3701"/>
    <w:rsid w:val="005C05A4"/>
    <w:rsid w:val="005C1324"/>
    <w:rsid w:val="005C1938"/>
    <w:rsid w:val="005C2F41"/>
    <w:rsid w:val="005C3C3A"/>
    <w:rsid w:val="005C5513"/>
    <w:rsid w:val="005C5E8D"/>
    <w:rsid w:val="005C6486"/>
    <w:rsid w:val="005C6C0B"/>
    <w:rsid w:val="005D041A"/>
    <w:rsid w:val="005D1992"/>
    <w:rsid w:val="005D436C"/>
    <w:rsid w:val="005D5488"/>
    <w:rsid w:val="005D5EE9"/>
    <w:rsid w:val="005D5FB1"/>
    <w:rsid w:val="005D7B04"/>
    <w:rsid w:val="005E21D5"/>
    <w:rsid w:val="005E5F2E"/>
    <w:rsid w:val="005F05B6"/>
    <w:rsid w:val="005F29C6"/>
    <w:rsid w:val="005F3973"/>
    <w:rsid w:val="005F4D2E"/>
    <w:rsid w:val="005F5DF9"/>
    <w:rsid w:val="005F7F25"/>
    <w:rsid w:val="00604CF2"/>
    <w:rsid w:val="006051BD"/>
    <w:rsid w:val="00612463"/>
    <w:rsid w:val="006143D3"/>
    <w:rsid w:val="00615A38"/>
    <w:rsid w:val="00617FFD"/>
    <w:rsid w:val="00620855"/>
    <w:rsid w:val="00620D82"/>
    <w:rsid w:val="00621446"/>
    <w:rsid w:val="006221A1"/>
    <w:rsid w:val="0062360F"/>
    <w:rsid w:val="00625D2D"/>
    <w:rsid w:val="00625DA5"/>
    <w:rsid w:val="006269A7"/>
    <w:rsid w:val="006269B0"/>
    <w:rsid w:val="00630C54"/>
    <w:rsid w:val="00631139"/>
    <w:rsid w:val="00633554"/>
    <w:rsid w:val="00634F96"/>
    <w:rsid w:val="006354B6"/>
    <w:rsid w:val="00636160"/>
    <w:rsid w:val="00636809"/>
    <w:rsid w:val="00641F97"/>
    <w:rsid w:val="00642D18"/>
    <w:rsid w:val="00643373"/>
    <w:rsid w:val="0064492D"/>
    <w:rsid w:val="006451B6"/>
    <w:rsid w:val="00645782"/>
    <w:rsid w:val="00645EFE"/>
    <w:rsid w:val="00654608"/>
    <w:rsid w:val="006549F4"/>
    <w:rsid w:val="00654B76"/>
    <w:rsid w:val="00655DA8"/>
    <w:rsid w:val="00664E69"/>
    <w:rsid w:val="00665393"/>
    <w:rsid w:val="00671B59"/>
    <w:rsid w:val="00671F7B"/>
    <w:rsid w:val="006765A5"/>
    <w:rsid w:val="00681EC4"/>
    <w:rsid w:val="0068270B"/>
    <w:rsid w:val="006856B4"/>
    <w:rsid w:val="00685CD7"/>
    <w:rsid w:val="0069155F"/>
    <w:rsid w:val="006944C6"/>
    <w:rsid w:val="006A02AF"/>
    <w:rsid w:val="006A04ED"/>
    <w:rsid w:val="006A362C"/>
    <w:rsid w:val="006B068E"/>
    <w:rsid w:val="006B0C2A"/>
    <w:rsid w:val="006B1F47"/>
    <w:rsid w:val="006B40CC"/>
    <w:rsid w:val="006B5256"/>
    <w:rsid w:val="006B5DD1"/>
    <w:rsid w:val="006B692A"/>
    <w:rsid w:val="006C3CC8"/>
    <w:rsid w:val="006C656D"/>
    <w:rsid w:val="006D01EC"/>
    <w:rsid w:val="006D3443"/>
    <w:rsid w:val="006D4982"/>
    <w:rsid w:val="006D6517"/>
    <w:rsid w:val="006D72D3"/>
    <w:rsid w:val="006E05FE"/>
    <w:rsid w:val="006E0968"/>
    <w:rsid w:val="006E0AB8"/>
    <w:rsid w:val="006F469E"/>
    <w:rsid w:val="006F7F69"/>
    <w:rsid w:val="00702901"/>
    <w:rsid w:val="00704F2C"/>
    <w:rsid w:val="00706DC7"/>
    <w:rsid w:val="00707216"/>
    <w:rsid w:val="00707AC7"/>
    <w:rsid w:val="0071161B"/>
    <w:rsid w:val="00711F4D"/>
    <w:rsid w:val="00712CA0"/>
    <w:rsid w:val="00713344"/>
    <w:rsid w:val="00714172"/>
    <w:rsid w:val="00714C3D"/>
    <w:rsid w:val="00715084"/>
    <w:rsid w:val="00715D71"/>
    <w:rsid w:val="00723ED7"/>
    <w:rsid w:val="007267B6"/>
    <w:rsid w:val="00731E3C"/>
    <w:rsid w:val="007323FA"/>
    <w:rsid w:val="0073561A"/>
    <w:rsid w:val="00735A0A"/>
    <w:rsid w:val="007375D0"/>
    <w:rsid w:val="00743394"/>
    <w:rsid w:val="00743A60"/>
    <w:rsid w:val="007457E6"/>
    <w:rsid w:val="00747553"/>
    <w:rsid w:val="0075144B"/>
    <w:rsid w:val="0075164A"/>
    <w:rsid w:val="007600D1"/>
    <w:rsid w:val="00761ADB"/>
    <w:rsid w:val="007641C4"/>
    <w:rsid w:val="007646CA"/>
    <w:rsid w:val="0077584E"/>
    <w:rsid w:val="00775F2C"/>
    <w:rsid w:val="007771A7"/>
    <w:rsid w:val="00777897"/>
    <w:rsid w:val="00780F30"/>
    <w:rsid w:val="0078272D"/>
    <w:rsid w:val="00784A99"/>
    <w:rsid w:val="007853CB"/>
    <w:rsid w:val="00786964"/>
    <w:rsid w:val="00786BD3"/>
    <w:rsid w:val="00786C7E"/>
    <w:rsid w:val="00790B81"/>
    <w:rsid w:val="00793DB6"/>
    <w:rsid w:val="00794A7C"/>
    <w:rsid w:val="00795F3B"/>
    <w:rsid w:val="007A00AE"/>
    <w:rsid w:val="007A314E"/>
    <w:rsid w:val="007A36CE"/>
    <w:rsid w:val="007A3B7A"/>
    <w:rsid w:val="007A6F09"/>
    <w:rsid w:val="007A7427"/>
    <w:rsid w:val="007B0C2D"/>
    <w:rsid w:val="007B1702"/>
    <w:rsid w:val="007B5A63"/>
    <w:rsid w:val="007B6309"/>
    <w:rsid w:val="007C0020"/>
    <w:rsid w:val="007C5E40"/>
    <w:rsid w:val="007C6B8D"/>
    <w:rsid w:val="007C7B56"/>
    <w:rsid w:val="007C7D78"/>
    <w:rsid w:val="007D09F2"/>
    <w:rsid w:val="007D4160"/>
    <w:rsid w:val="007D425C"/>
    <w:rsid w:val="007D7EC1"/>
    <w:rsid w:val="007E01F3"/>
    <w:rsid w:val="007E12A3"/>
    <w:rsid w:val="007E2045"/>
    <w:rsid w:val="007E6D22"/>
    <w:rsid w:val="007E6F80"/>
    <w:rsid w:val="007F0381"/>
    <w:rsid w:val="007F255B"/>
    <w:rsid w:val="007F2EAA"/>
    <w:rsid w:val="007F2F74"/>
    <w:rsid w:val="007F7B7A"/>
    <w:rsid w:val="00800593"/>
    <w:rsid w:val="00802297"/>
    <w:rsid w:val="00802EF7"/>
    <w:rsid w:val="0080511D"/>
    <w:rsid w:val="00805C55"/>
    <w:rsid w:val="00806233"/>
    <w:rsid w:val="00806E4E"/>
    <w:rsid w:val="008073B5"/>
    <w:rsid w:val="00807564"/>
    <w:rsid w:val="00812DD8"/>
    <w:rsid w:val="00816924"/>
    <w:rsid w:val="00817882"/>
    <w:rsid w:val="00826823"/>
    <w:rsid w:val="00830594"/>
    <w:rsid w:val="00832A71"/>
    <w:rsid w:val="00833686"/>
    <w:rsid w:val="00834246"/>
    <w:rsid w:val="0083681A"/>
    <w:rsid w:val="00836E74"/>
    <w:rsid w:val="00837AA2"/>
    <w:rsid w:val="008412E6"/>
    <w:rsid w:val="00841E3B"/>
    <w:rsid w:val="00843354"/>
    <w:rsid w:val="00843507"/>
    <w:rsid w:val="00844D08"/>
    <w:rsid w:val="008478A9"/>
    <w:rsid w:val="00850D44"/>
    <w:rsid w:val="00853337"/>
    <w:rsid w:val="00853C7E"/>
    <w:rsid w:val="00856756"/>
    <w:rsid w:val="0086228F"/>
    <w:rsid w:val="00863C40"/>
    <w:rsid w:val="008676B5"/>
    <w:rsid w:val="00873246"/>
    <w:rsid w:val="00876F6C"/>
    <w:rsid w:val="008832BB"/>
    <w:rsid w:val="00885649"/>
    <w:rsid w:val="00886D9E"/>
    <w:rsid w:val="00890BC2"/>
    <w:rsid w:val="00894EE2"/>
    <w:rsid w:val="0089530F"/>
    <w:rsid w:val="008A34C3"/>
    <w:rsid w:val="008A3FC1"/>
    <w:rsid w:val="008B11B9"/>
    <w:rsid w:val="008B31B0"/>
    <w:rsid w:val="008B35CB"/>
    <w:rsid w:val="008B38C2"/>
    <w:rsid w:val="008B4504"/>
    <w:rsid w:val="008B7669"/>
    <w:rsid w:val="008C1686"/>
    <w:rsid w:val="008C7AA8"/>
    <w:rsid w:val="008D12DD"/>
    <w:rsid w:val="008D16E3"/>
    <w:rsid w:val="008D183C"/>
    <w:rsid w:val="008D344F"/>
    <w:rsid w:val="008D59C4"/>
    <w:rsid w:val="008D5FFC"/>
    <w:rsid w:val="008D71BC"/>
    <w:rsid w:val="008E6675"/>
    <w:rsid w:val="008F04B2"/>
    <w:rsid w:val="008F5140"/>
    <w:rsid w:val="008F625D"/>
    <w:rsid w:val="008F798E"/>
    <w:rsid w:val="00900E00"/>
    <w:rsid w:val="009011BE"/>
    <w:rsid w:val="009019E5"/>
    <w:rsid w:val="00903669"/>
    <w:rsid w:val="0090403B"/>
    <w:rsid w:val="00905F32"/>
    <w:rsid w:val="009105B7"/>
    <w:rsid w:val="00913E26"/>
    <w:rsid w:val="00915903"/>
    <w:rsid w:val="00917B26"/>
    <w:rsid w:val="00921283"/>
    <w:rsid w:val="0092488E"/>
    <w:rsid w:val="00925542"/>
    <w:rsid w:val="009271B8"/>
    <w:rsid w:val="00933328"/>
    <w:rsid w:val="00945896"/>
    <w:rsid w:val="009459FF"/>
    <w:rsid w:val="0095069C"/>
    <w:rsid w:val="00952A17"/>
    <w:rsid w:val="009545AF"/>
    <w:rsid w:val="00955637"/>
    <w:rsid w:val="00957183"/>
    <w:rsid w:val="00962BD9"/>
    <w:rsid w:val="00962E90"/>
    <w:rsid w:val="009669CC"/>
    <w:rsid w:val="00970724"/>
    <w:rsid w:val="009743F9"/>
    <w:rsid w:val="00974A84"/>
    <w:rsid w:val="009765DC"/>
    <w:rsid w:val="00980A99"/>
    <w:rsid w:val="00983554"/>
    <w:rsid w:val="00986F92"/>
    <w:rsid w:val="009870CA"/>
    <w:rsid w:val="00987DCB"/>
    <w:rsid w:val="0099231F"/>
    <w:rsid w:val="00993758"/>
    <w:rsid w:val="009A05BA"/>
    <w:rsid w:val="009A24C5"/>
    <w:rsid w:val="009A4D71"/>
    <w:rsid w:val="009B0414"/>
    <w:rsid w:val="009B1C7E"/>
    <w:rsid w:val="009B267A"/>
    <w:rsid w:val="009B423F"/>
    <w:rsid w:val="009B56F3"/>
    <w:rsid w:val="009B5F8B"/>
    <w:rsid w:val="009B6053"/>
    <w:rsid w:val="009B6935"/>
    <w:rsid w:val="009B6E66"/>
    <w:rsid w:val="009C0B84"/>
    <w:rsid w:val="009C144E"/>
    <w:rsid w:val="009C1BC0"/>
    <w:rsid w:val="009C2E65"/>
    <w:rsid w:val="009C4A0F"/>
    <w:rsid w:val="009D2013"/>
    <w:rsid w:val="009D2BAB"/>
    <w:rsid w:val="009D2F4A"/>
    <w:rsid w:val="009D3A28"/>
    <w:rsid w:val="009D5BE5"/>
    <w:rsid w:val="009D7E0E"/>
    <w:rsid w:val="009E4539"/>
    <w:rsid w:val="009E60A3"/>
    <w:rsid w:val="009F1B70"/>
    <w:rsid w:val="009F33DE"/>
    <w:rsid w:val="009F3A6F"/>
    <w:rsid w:val="009F563A"/>
    <w:rsid w:val="009F5818"/>
    <w:rsid w:val="00A00CCB"/>
    <w:rsid w:val="00A01E95"/>
    <w:rsid w:val="00A04088"/>
    <w:rsid w:val="00A064AE"/>
    <w:rsid w:val="00A07EFB"/>
    <w:rsid w:val="00A100DC"/>
    <w:rsid w:val="00A135A8"/>
    <w:rsid w:val="00A17527"/>
    <w:rsid w:val="00A2016B"/>
    <w:rsid w:val="00A21E9E"/>
    <w:rsid w:val="00A22BE8"/>
    <w:rsid w:val="00A24C02"/>
    <w:rsid w:val="00A26918"/>
    <w:rsid w:val="00A274EA"/>
    <w:rsid w:val="00A3218F"/>
    <w:rsid w:val="00A33A91"/>
    <w:rsid w:val="00A345A9"/>
    <w:rsid w:val="00A35BFF"/>
    <w:rsid w:val="00A35D66"/>
    <w:rsid w:val="00A36328"/>
    <w:rsid w:val="00A37BF7"/>
    <w:rsid w:val="00A43812"/>
    <w:rsid w:val="00A441DF"/>
    <w:rsid w:val="00A4427E"/>
    <w:rsid w:val="00A530BE"/>
    <w:rsid w:val="00A55FB2"/>
    <w:rsid w:val="00A60469"/>
    <w:rsid w:val="00A66324"/>
    <w:rsid w:val="00A67356"/>
    <w:rsid w:val="00A70D4A"/>
    <w:rsid w:val="00A76D84"/>
    <w:rsid w:val="00A77582"/>
    <w:rsid w:val="00A800E6"/>
    <w:rsid w:val="00A8021D"/>
    <w:rsid w:val="00A811BF"/>
    <w:rsid w:val="00A832BD"/>
    <w:rsid w:val="00A83507"/>
    <w:rsid w:val="00A905AC"/>
    <w:rsid w:val="00A9113C"/>
    <w:rsid w:val="00A93AAD"/>
    <w:rsid w:val="00A96BDC"/>
    <w:rsid w:val="00A97039"/>
    <w:rsid w:val="00A9767A"/>
    <w:rsid w:val="00AA09B6"/>
    <w:rsid w:val="00AA3522"/>
    <w:rsid w:val="00AA41F0"/>
    <w:rsid w:val="00AA6B4F"/>
    <w:rsid w:val="00AA78A0"/>
    <w:rsid w:val="00AB10BF"/>
    <w:rsid w:val="00AC1089"/>
    <w:rsid w:val="00AC7445"/>
    <w:rsid w:val="00AD09F8"/>
    <w:rsid w:val="00AD377C"/>
    <w:rsid w:val="00AD5B7E"/>
    <w:rsid w:val="00AD6B1A"/>
    <w:rsid w:val="00AE111D"/>
    <w:rsid w:val="00AE1909"/>
    <w:rsid w:val="00AE4AA9"/>
    <w:rsid w:val="00AE4C49"/>
    <w:rsid w:val="00AE61FD"/>
    <w:rsid w:val="00AE7314"/>
    <w:rsid w:val="00AF1430"/>
    <w:rsid w:val="00AF427D"/>
    <w:rsid w:val="00AF4E20"/>
    <w:rsid w:val="00AF7AD8"/>
    <w:rsid w:val="00B00D7B"/>
    <w:rsid w:val="00B03A61"/>
    <w:rsid w:val="00B12A21"/>
    <w:rsid w:val="00B161C6"/>
    <w:rsid w:val="00B165FD"/>
    <w:rsid w:val="00B16616"/>
    <w:rsid w:val="00B174CF"/>
    <w:rsid w:val="00B20563"/>
    <w:rsid w:val="00B20D6A"/>
    <w:rsid w:val="00B20DFB"/>
    <w:rsid w:val="00B20F58"/>
    <w:rsid w:val="00B22E8A"/>
    <w:rsid w:val="00B25DF4"/>
    <w:rsid w:val="00B33D07"/>
    <w:rsid w:val="00B3601A"/>
    <w:rsid w:val="00B37AD1"/>
    <w:rsid w:val="00B41EF9"/>
    <w:rsid w:val="00B44898"/>
    <w:rsid w:val="00B50A70"/>
    <w:rsid w:val="00B521CC"/>
    <w:rsid w:val="00B52FBB"/>
    <w:rsid w:val="00B5321C"/>
    <w:rsid w:val="00B55A51"/>
    <w:rsid w:val="00B574E9"/>
    <w:rsid w:val="00B5763A"/>
    <w:rsid w:val="00B6570D"/>
    <w:rsid w:val="00B71AB2"/>
    <w:rsid w:val="00B73B17"/>
    <w:rsid w:val="00B73CB2"/>
    <w:rsid w:val="00B773B8"/>
    <w:rsid w:val="00B7755B"/>
    <w:rsid w:val="00B81ECA"/>
    <w:rsid w:val="00B91D33"/>
    <w:rsid w:val="00B930B4"/>
    <w:rsid w:val="00B930F8"/>
    <w:rsid w:val="00B932D5"/>
    <w:rsid w:val="00BA6044"/>
    <w:rsid w:val="00BB2D83"/>
    <w:rsid w:val="00BB4A54"/>
    <w:rsid w:val="00BB6117"/>
    <w:rsid w:val="00BC333A"/>
    <w:rsid w:val="00BC3D19"/>
    <w:rsid w:val="00BC4042"/>
    <w:rsid w:val="00BC47BA"/>
    <w:rsid w:val="00BC4C32"/>
    <w:rsid w:val="00BD3CCA"/>
    <w:rsid w:val="00BD4C70"/>
    <w:rsid w:val="00BD6B1F"/>
    <w:rsid w:val="00BE0902"/>
    <w:rsid w:val="00BE328D"/>
    <w:rsid w:val="00BE3979"/>
    <w:rsid w:val="00BE7663"/>
    <w:rsid w:val="00BF1027"/>
    <w:rsid w:val="00BF11AE"/>
    <w:rsid w:val="00BF25CC"/>
    <w:rsid w:val="00BF5AD4"/>
    <w:rsid w:val="00BF6223"/>
    <w:rsid w:val="00BF64E5"/>
    <w:rsid w:val="00BF6F41"/>
    <w:rsid w:val="00C04C1E"/>
    <w:rsid w:val="00C112A6"/>
    <w:rsid w:val="00C11458"/>
    <w:rsid w:val="00C139A4"/>
    <w:rsid w:val="00C13C99"/>
    <w:rsid w:val="00C16DB2"/>
    <w:rsid w:val="00C21654"/>
    <w:rsid w:val="00C24828"/>
    <w:rsid w:val="00C268F0"/>
    <w:rsid w:val="00C27800"/>
    <w:rsid w:val="00C35BFE"/>
    <w:rsid w:val="00C35FBD"/>
    <w:rsid w:val="00C431CF"/>
    <w:rsid w:val="00C434DF"/>
    <w:rsid w:val="00C5038E"/>
    <w:rsid w:val="00C5420A"/>
    <w:rsid w:val="00C564AB"/>
    <w:rsid w:val="00C573A2"/>
    <w:rsid w:val="00C607E6"/>
    <w:rsid w:val="00C60F13"/>
    <w:rsid w:val="00C61133"/>
    <w:rsid w:val="00C623FB"/>
    <w:rsid w:val="00C626A4"/>
    <w:rsid w:val="00C66AA7"/>
    <w:rsid w:val="00C676EE"/>
    <w:rsid w:val="00C679B4"/>
    <w:rsid w:val="00C747EC"/>
    <w:rsid w:val="00C75375"/>
    <w:rsid w:val="00C80614"/>
    <w:rsid w:val="00C874ED"/>
    <w:rsid w:val="00C8772B"/>
    <w:rsid w:val="00C92FF9"/>
    <w:rsid w:val="00C95485"/>
    <w:rsid w:val="00C96C95"/>
    <w:rsid w:val="00CA0A59"/>
    <w:rsid w:val="00CA4A81"/>
    <w:rsid w:val="00CB3CA3"/>
    <w:rsid w:val="00CB5819"/>
    <w:rsid w:val="00CB5BFA"/>
    <w:rsid w:val="00CB7E53"/>
    <w:rsid w:val="00CC3906"/>
    <w:rsid w:val="00CC4F5B"/>
    <w:rsid w:val="00CC64D1"/>
    <w:rsid w:val="00CC7E5F"/>
    <w:rsid w:val="00CD0493"/>
    <w:rsid w:val="00CD07CD"/>
    <w:rsid w:val="00CD11EF"/>
    <w:rsid w:val="00CD1D75"/>
    <w:rsid w:val="00CD231D"/>
    <w:rsid w:val="00CD2365"/>
    <w:rsid w:val="00CD237A"/>
    <w:rsid w:val="00CE11DA"/>
    <w:rsid w:val="00CE1CA4"/>
    <w:rsid w:val="00CE5710"/>
    <w:rsid w:val="00CE69F3"/>
    <w:rsid w:val="00CF0FC6"/>
    <w:rsid w:val="00CF46A3"/>
    <w:rsid w:val="00CF56C3"/>
    <w:rsid w:val="00CF5ECC"/>
    <w:rsid w:val="00D00E85"/>
    <w:rsid w:val="00D01678"/>
    <w:rsid w:val="00D0187A"/>
    <w:rsid w:val="00D03323"/>
    <w:rsid w:val="00D037DD"/>
    <w:rsid w:val="00D055B3"/>
    <w:rsid w:val="00D05B49"/>
    <w:rsid w:val="00D07481"/>
    <w:rsid w:val="00D13381"/>
    <w:rsid w:val="00D14350"/>
    <w:rsid w:val="00D216BD"/>
    <w:rsid w:val="00D21A79"/>
    <w:rsid w:val="00D23FC1"/>
    <w:rsid w:val="00D246A9"/>
    <w:rsid w:val="00D258E5"/>
    <w:rsid w:val="00D25EB7"/>
    <w:rsid w:val="00D3071D"/>
    <w:rsid w:val="00D31096"/>
    <w:rsid w:val="00D317B0"/>
    <w:rsid w:val="00D33394"/>
    <w:rsid w:val="00D35BB2"/>
    <w:rsid w:val="00D407A6"/>
    <w:rsid w:val="00D4133D"/>
    <w:rsid w:val="00D41422"/>
    <w:rsid w:val="00D4609B"/>
    <w:rsid w:val="00D47A2E"/>
    <w:rsid w:val="00D50139"/>
    <w:rsid w:val="00D62489"/>
    <w:rsid w:val="00D6492F"/>
    <w:rsid w:val="00D65753"/>
    <w:rsid w:val="00D66B25"/>
    <w:rsid w:val="00D7088B"/>
    <w:rsid w:val="00D71E10"/>
    <w:rsid w:val="00D73834"/>
    <w:rsid w:val="00D75994"/>
    <w:rsid w:val="00D761C9"/>
    <w:rsid w:val="00D7768B"/>
    <w:rsid w:val="00D7773D"/>
    <w:rsid w:val="00D83EFC"/>
    <w:rsid w:val="00D85097"/>
    <w:rsid w:val="00D8715E"/>
    <w:rsid w:val="00D87B96"/>
    <w:rsid w:val="00D91250"/>
    <w:rsid w:val="00D92430"/>
    <w:rsid w:val="00D92787"/>
    <w:rsid w:val="00D9586E"/>
    <w:rsid w:val="00D95E1D"/>
    <w:rsid w:val="00D97EE3"/>
    <w:rsid w:val="00DA0BB8"/>
    <w:rsid w:val="00DA1CF5"/>
    <w:rsid w:val="00DA5873"/>
    <w:rsid w:val="00DA6477"/>
    <w:rsid w:val="00DA7B5E"/>
    <w:rsid w:val="00DB14F4"/>
    <w:rsid w:val="00DB2478"/>
    <w:rsid w:val="00DB340E"/>
    <w:rsid w:val="00DB4789"/>
    <w:rsid w:val="00DB6ABD"/>
    <w:rsid w:val="00DB7D6D"/>
    <w:rsid w:val="00DC153E"/>
    <w:rsid w:val="00DC281A"/>
    <w:rsid w:val="00DC6CBD"/>
    <w:rsid w:val="00DD0E55"/>
    <w:rsid w:val="00DE0DAA"/>
    <w:rsid w:val="00DE571C"/>
    <w:rsid w:val="00DE5E1F"/>
    <w:rsid w:val="00DE5E30"/>
    <w:rsid w:val="00DF01F8"/>
    <w:rsid w:val="00DF48CF"/>
    <w:rsid w:val="00DF499F"/>
    <w:rsid w:val="00DF49CF"/>
    <w:rsid w:val="00DF61B5"/>
    <w:rsid w:val="00E0056A"/>
    <w:rsid w:val="00E0309A"/>
    <w:rsid w:val="00E035D4"/>
    <w:rsid w:val="00E03F45"/>
    <w:rsid w:val="00E140C3"/>
    <w:rsid w:val="00E177D5"/>
    <w:rsid w:val="00E213E3"/>
    <w:rsid w:val="00E2163E"/>
    <w:rsid w:val="00E21C93"/>
    <w:rsid w:val="00E24B62"/>
    <w:rsid w:val="00E24E3B"/>
    <w:rsid w:val="00E3077C"/>
    <w:rsid w:val="00E325F3"/>
    <w:rsid w:val="00E34674"/>
    <w:rsid w:val="00E4268E"/>
    <w:rsid w:val="00E4676E"/>
    <w:rsid w:val="00E475CD"/>
    <w:rsid w:val="00E47E26"/>
    <w:rsid w:val="00E53F75"/>
    <w:rsid w:val="00E573B1"/>
    <w:rsid w:val="00E57E58"/>
    <w:rsid w:val="00E62C18"/>
    <w:rsid w:val="00E65FA9"/>
    <w:rsid w:val="00E67BA8"/>
    <w:rsid w:val="00E725E4"/>
    <w:rsid w:val="00E75AE6"/>
    <w:rsid w:val="00E86725"/>
    <w:rsid w:val="00E87501"/>
    <w:rsid w:val="00E918F7"/>
    <w:rsid w:val="00E9243F"/>
    <w:rsid w:val="00E92C57"/>
    <w:rsid w:val="00E93E7F"/>
    <w:rsid w:val="00E94500"/>
    <w:rsid w:val="00EA2D92"/>
    <w:rsid w:val="00EA38A4"/>
    <w:rsid w:val="00EA3EDF"/>
    <w:rsid w:val="00EA4B3A"/>
    <w:rsid w:val="00EA5F41"/>
    <w:rsid w:val="00EB0343"/>
    <w:rsid w:val="00EB0961"/>
    <w:rsid w:val="00EB1E35"/>
    <w:rsid w:val="00EC0599"/>
    <w:rsid w:val="00EC0987"/>
    <w:rsid w:val="00EC12A4"/>
    <w:rsid w:val="00EC298A"/>
    <w:rsid w:val="00EC69B3"/>
    <w:rsid w:val="00ED4386"/>
    <w:rsid w:val="00ED70F9"/>
    <w:rsid w:val="00ED754C"/>
    <w:rsid w:val="00ED79AA"/>
    <w:rsid w:val="00EE0D0B"/>
    <w:rsid w:val="00EE1581"/>
    <w:rsid w:val="00EE5587"/>
    <w:rsid w:val="00EE5875"/>
    <w:rsid w:val="00EE5C8E"/>
    <w:rsid w:val="00EF03C3"/>
    <w:rsid w:val="00F000AA"/>
    <w:rsid w:val="00F011C4"/>
    <w:rsid w:val="00F036D7"/>
    <w:rsid w:val="00F04084"/>
    <w:rsid w:val="00F10E2F"/>
    <w:rsid w:val="00F1327C"/>
    <w:rsid w:val="00F172C0"/>
    <w:rsid w:val="00F21C24"/>
    <w:rsid w:val="00F2291C"/>
    <w:rsid w:val="00F233AA"/>
    <w:rsid w:val="00F24B49"/>
    <w:rsid w:val="00F24DB1"/>
    <w:rsid w:val="00F26134"/>
    <w:rsid w:val="00F33E50"/>
    <w:rsid w:val="00F34D05"/>
    <w:rsid w:val="00F37C16"/>
    <w:rsid w:val="00F37DCE"/>
    <w:rsid w:val="00F41BF5"/>
    <w:rsid w:val="00F52DC0"/>
    <w:rsid w:val="00F55456"/>
    <w:rsid w:val="00F5571E"/>
    <w:rsid w:val="00F64982"/>
    <w:rsid w:val="00F72210"/>
    <w:rsid w:val="00F7344E"/>
    <w:rsid w:val="00F7390D"/>
    <w:rsid w:val="00F75470"/>
    <w:rsid w:val="00F7553C"/>
    <w:rsid w:val="00F76F0C"/>
    <w:rsid w:val="00F85DEF"/>
    <w:rsid w:val="00F91167"/>
    <w:rsid w:val="00F934B2"/>
    <w:rsid w:val="00F939CE"/>
    <w:rsid w:val="00F948B7"/>
    <w:rsid w:val="00F95CC5"/>
    <w:rsid w:val="00FA15C4"/>
    <w:rsid w:val="00FA1F3E"/>
    <w:rsid w:val="00FA3EB5"/>
    <w:rsid w:val="00FA4DF2"/>
    <w:rsid w:val="00FA5506"/>
    <w:rsid w:val="00FA6FC5"/>
    <w:rsid w:val="00FB46A5"/>
    <w:rsid w:val="00FB4AE0"/>
    <w:rsid w:val="00FB5606"/>
    <w:rsid w:val="00FB5B7A"/>
    <w:rsid w:val="00FB6038"/>
    <w:rsid w:val="00FC164F"/>
    <w:rsid w:val="00FC1EA6"/>
    <w:rsid w:val="00FD002A"/>
    <w:rsid w:val="00FD19F2"/>
    <w:rsid w:val="00FD4E04"/>
    <w:rsid w:val="00FE072A"/>
    <w:rsid w:val="00FE282E"/>
    <w:rsid w:val="00FF04F8"/>
    <w:rsid w:val="00FF0645"/>
    <w:rsid w:val="00FF4695"/>
    <w:rsid w:val="00FF51E1"/>
    <w:rsid w:val="00FF7577"/>
    <w:rsid w:val="013CAEA8"/>
    <w:rsid w:val="01FA697A"/>
    <w:rsid w:val="0399BC9F"/>
    <w:rsid w:val="05189994"/>
    <w:rsid w:val="06798234"/>
    <w:rsid w:val="0942E1C4"/>
    <w:rsid w:val="0C5923FE"/>
    <w:rsid w:val="0DE8604A"/>
    <w:rsid w:val="0EA43240"/>
    <w:rsid w:val="0FBB6B9F"/>
    <w:rsid w:val="0FD6E073"/>
    <w:rsid w:val="11145C84"/>
    <w:rsid w:val="130A7267"/>
    <w:rsid w:val="15902E5F"/>
    <w:rsid w:val="161E4063"/>
    <w:rsid w:val="179B8B35"/>
    <w:rsid w:val="181859C7"/>
    <w:rsid w:val="1863609A"/>
    <w:rsid w:val="1C978F0F"/>
    <w:rsid w:val="1D344FE7"/>
    <w:rsid w:val="1FF0CEE1"/>
    <w:rsid w:val="225466F1"/>
    <w:rsid w:val="227E0469"/>
    <w:rsid w:val="23A10439"/>
    <w:rsid w:val="243FB27A"/>
    <w:rsid w:val="257ABACA"/>
    <w:rsid w:val="26107CCE"/>
    <w:rsid w:val="26443FB9"/>
    <w:rsid w:val="265EEBAE"/>
    <w:rsid w:val="29E49640"/>
    <w:rsid w:val="2A44B59C"/>
    <w:rsid w:val="2AACD2D2"/>
    <w:rsid w:val="2B32E920"/>
    <w:rsid w:val="2CD60F45"/>
    <w:rsid w:val="2CFBE12D"/>
    <w:rsid w:val="2D0B74CF"/>
    <w:rsid w:val="31ADEB3C"/>
    <w:rsid w:val="31FDAD3D"/>
    <w:rsid w:val="32319636"/>
    <w:rsid w:val="32662DD2"/>
    <w:rsid w:val="3395D96E"/>
    <w:rsid w:val="34AB1F0B"/>
    <w:rsid w:val="35BFA1CA"/>
    <w:rsid w:val="362EC4B3"/>
    <w:rsid w:val="391D46AE"/>
    <w:rsid w:val="395F9F09"/>
    <w:rsid w:val="3A4C250C"/>
    <w:rsid w:val="3A985D00"/>
    <w:rsid w:val="3B7710E7"/>
    <w:rsid w:val="3B775452"/>
    <w:rsid w:val="3C768226"/>
    <w:rsid w:val="3CE5D9D2"/>
    <w:rsid w:val="3DE40AD4"/>
    <w:rsid w:val="41628B7B"/>
    <w:rsid w:val="416E03D0"/>
    <w:rsid w:val="41D95F1A"/>
    <w:rsid w:val="4272A5D3"/>
    <w:rsid w:val="45541ACE"/>
    <w:rsid w:val="472DFB30"/>
    <w:rsid w:val="47D098FE"/>
    <w:rsid w:val="4A3CD867"/>
    <w:rsid w:val="4A9B3C09"/>
    <w:rsid w:val="4AC83F29"/>
    <w:rsid w:val="4BC4A780"/>
    <w:rsid w:val="4C32BDD4"/>
    <w:rsid w:val="4D89F489"/>
    <w:rsid w:val="50867D01"/>
    <w:rsid w:val="50FEFB12"/>
    <w:rsid w:val="52BCEC4F"/>
    <w:rsid w:val="54181405"/>
    <w:rsid w:val="548D3B3F"/>
    <w:rsid w:val="57E28A8B"/>
    <w:rsid w:val="5957906F"/>
    <w:rsid w:val="5B27DBE8"/>
    <w:rsid w:val="5DE5216B"/>
    <w:rsid w:val="5E722E4B"/>
    <w:rsid w:val="5F515853"/>
    <w:rsid w:val="5F671185"/>
    <w:rsid w:val="5F991F51"/>
    <w:rsid w:val="63CF7438"/>
    <w:rsid w:val="640E9EDA"/>
    <w:rsid w:val="670839D4"/>
    <w:rsid w:val="682A8363"/>
    <w:rsid w:val="6A07F28D"/>
    <w:rsid w:val="6B12A24F"/>
    <w:rsid w:val="6BB58595"/>
    <w:rsid w:val="6C058E8E"/>
    <w:rsid w:val="6C22A42C"/>
    <w:rsid w:val="6D0ACD36"/>
    <w:rsid w:val="6E4321CE"/>
    <w:rsid w:val="6F002DFC"/>
    <w:rsid w:val="6F83D412"/>
    <w:rsid w:val="702506E9"/>
    <w:rsid w:val="72521B69"/>
    <w:rsid w:val="727630E9"/>
    <w:rsid w:val="72F556FD"/>
    <w:rsid w:val="73F4D179"/>
    <w:rsid w:val="74B39FC1"/>
    <w:rsid w:val="76D7BBBE"/>
    <w:rsid w:val="775E2FCB"/>
    <w:rsid w:val="7ABEB394"/>
    <w:rsid w:val="7D3BF155"/>
    <w:rsid w:val="7E6E24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C6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nhideWhenUsed/>
    <w:rsid w:val="009669CC"/>
    <w:rPr>
      <w:sz w:val="24"/>
      <w:szCs w:val="24"/>
    </w:rPr>
  </w:style>
  <w:style w:type="paragraph" w:styleId="berschrift2">
    <w:name w:val="heading 2"/>
    <w:basedOn w:val="Standard"/>
    <w:uiPriority w:val="99"/>
    <w:qFormat/>
    <w:rsid w:val="004E1D02"/>
    <w:pPr>
      <w:spacing w:before="100" w:beforeAutospacing="1" w:after="100" w:afterAutospacing="1"/>
      <w:outlineLvl w:val="1"/>
    </w:pPr>
    <w:rPr>
      <w:rFonts w:ascii="Arial" w:hAnsi="Arial" w:cs="Arial"/>
      <w:b/>
      <w:bCs/>
      <w:color w:val="000000"/>
      <w:sz w:val="30"/>
      <w:szCs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Kommentartext">
    <w:name w:val="annotation text"/>
    <w:basedOn w:val="Standard"/>
    <w:link w:val="KommentartextZchn2"/>
    <w:uiPriority w:val="99"/>
    <w:unhideWhenUsed/>
    <w:rsid w:val="005C5E8D"/>
    <w:rPr>
      <w:sz w:val="20"/>
      <w:szCs w:val="20"/>
    </w:rPr>
  </w:style>
  <w:style w:type="character" w:customStyle="1" w:styleId="KommentartextZchn2">
    <w:name w:val="Kommentartext Zchn2"/>
    <w:basedOn w:val="Absatz-Standardschriftart"/>
    <w:link w:val="Kommentartext"/>
    <w:uiPriority w:val="99"/>
    <w:rsid w:val="005C5E8D"/>
    <w:rPr>
      <w:sz w:val="20"/>
      <w:szCs w:val="20"/>
    </w:rPr>
  </w:style>
  <w:style w:type="paragraph" w:styleId="Kommentarthema">
    <w:name w:val="annotation subject"/>
    <w:basedOn w:val="Kommentartext"/>
    <w:next w:val="Kommentartext"/>
    <w:link w:val="KommentarthemaZchn2"/>
    <w:uiPriority w:val="99"/>
    <w:semiHidden/>
    <w:unhideWhenUsed/>
    <w:rsid w:val="005C5E8D"/>
    <w:rPr>
      <w:b/>
      <w:bCs/>
    </w:rPr>
  </w:style>
  <w:style w:type="character" w:customStyle="1" w:styleId="KommentarthemaZchn2">
    <w:name w:val="Kommentarthema Zchn2"/>
    <w:basedOn w:val="KommentartextZchn2"/>
    <w:link w:val="Kommentarthema"/>
    <w:uiPriority w:val="99"/>
    <w:semiHidden/>
    <w:rsid w:val="005C5E8D"/>
    <w:rPr>
      <w:b/>
      <w:bCs/>
      <w:sz w:val="20"/>
      <w:szCs w:val="20"/>
    </w:rPr>
  </w:style>
  <w:style w:type="paragraph" w:styleId="StandardWeb">
    <w:name w:val="Normal (Web)"/>
    <w:basedOn w:val="Standard"/>
    <w:uiPriority w:val="99"/>
    <w:rsid w:val="004E1D02"/>
    <w:pPr>
      <w:spacing w:before="100" w:beforeAutospacing="1" w:after="100" w:afterAutospacing="1"/>
    </w:pPr>
    <w:rPr>
      <w:color w:val="000000"/>
    </w:rPr>
  </w:style>
  <w:style w:type="character" w:styleId="Hyperlink">
    <w:name w:val="Hyperlink"/>
    <w:basedOn w:val="Absatz-Standardschriftart"/>
    <w:uiPriority w:val="99"/>
    <w:rsid w:val="004E1D02"/>
    <w:rPr>
      <w:rFonts w:cs="Times New Roman"/>
      <w:color w:val="0000FF"/>
      <w:u w:val="single"/>
    </w:rPr>
  </w:style>
  <w:style w:type="paragraph" w:customStyle="1" w:styleId="affiliation">
    <w:name w:val="affiliation"/>
    <w:basedOn w:val="Standard"/>
    <w:uiPriority w:val="99"/>
    <w:rsid w:val="004E1D02"/>
    <w:rPr>
      <w:color w:val="000000"/>
    </w:rPr>
  </w:style>
  <w:style w:type="character" w:customStyle="1" w:styleId="ti2">
    <w:name w:val="ti2"/>
    <w:basedOn w:val="Absatz-Standardschriftart"/>
    <w:uiPriority w:val="99"/>
    <w:rsid w:val="004E1D02"/>
    <w:rPr>
      <w:rFonts w:cs="Times New Roman"/>
    </w:rPr>
  </w:style>
  <w:style w:type="character" w:customStyle="1" w:styleId="featuredlinkouts">
    <w:name w:val="featured_linkouts"/>
    <w:basedOn w:val="Absatz-Standardschriftart"/>
    <w:uiPriority w:val="99"/>
    <w:rsid w:val="004E1D02"/>
    <w:rPr>
      <w:rFonts w:cs="Times New Roman"/>
    </w:rPr>
  </w:style>
  <w:style w:type="character" w:customStyle="1" w:styleId="linkbar">
    <w:name w:val="linkbar"/>
    <w:basedOn w:val="Absatz-Standardschriftart"/>
    <w:uiPriority w:val="99"/>
    <w:rsid w:val="004E1D02"/>
    <w:rPr>
      <w:rFonts w:cs="Times New Roman"/>
    </w:rPr>
  </w:style>
  <w:style w:type="character" w:styleId="BesuchterLink">
    <w:name w:val="FollowedHyperlink"/>
    <w:basedOn w:val="Absatz-Standardschriftart"/>
    <w:uiPriority w:val="99"/>
    <w:rsid w:val="004E1D02"/>
    <w:rPr>
      <w:rFonts w:cs="Times New Roman"/>
      <w:color w:val="800080"/>
      <w:u w:val="single"/>
    </w:rPr>
  </w:style>
  <w:style w:type="character" w:customStyle="1" w:styleId="TextkrperZchn1">
    <w:name w:val="Textkörper Zchn1"/>
    <w:basedOn w:val="Absatz-Standardschriftart"/>
    <w:uiPriority w:val="99"/>
    <w:semiHidden/>
    <w:rsid w:val="005D5488"/>
    <w:rPr>
      <w:sz w:val="24"/>
      <w:szCs w:val="24"/>
    </w:rPr>
  </w:style>
  <w:style w:type="character" w:customStyle="1" w:styleId="Textkrper2Zchn1">
    <w:name w:val="Textkörper 2 Zchn1"/>
    <w:basedOn w:val="Absatz-Standardschriftart"/>
    <w:uiPriority w:val="99"/>
    <w:semiHidden/>
    <w:rsid w:val="005D5488"/>
    <w:rPr>
      <w:sz w:val="24"/>
      <w:szCs w:val="24"/>
    </w:rPr>
  </w:style>
  <w:style w:type="character" w:customStyle="1" w:styleId="SprechblasentextZchn1">
    <w:name w:val="Sprechblasentext Zchn1"/>
    <w:basedOn w:val="Absatz-Standardschriftart"/>
    <w:uiPriority w:val="99"/>
    <w:semiHidden/>
    <w:rsid w:val="005D5488"/>
    <w:rPr>
      <w:rFonts w:ascii="Segoe UI" w:hAnsi="Segoe UI" w:cs="Segoe UI"/>
      <w:sz w:val="18"/>
      <w:szCs w:val="18"/>
    </w:rPr>
  </w:style>
  <w:style w:type="character" w:customStyle="1" w:styleId="TitelZchn1">
    <w:name w:val="Titel Zchn1"/>
    <w:basedOn w:val="Absatz-Standardschriftart"/>
    <w:rsid w:val="005D5488"/>
    <w:rPr>
      <w:rFonts w:asciiTheme="majorHAnsi" w:eastAsiaTheme="majorEastAsia" w:hAnsiTheme="majorHAnsi" w:cstheme="majorBidi"/>
      <w:spacing w:val="-10"/>
      <w:kern w:val="28"/>
      <w:sz w:val="56"/>
      <w:szCs w:val="56"/>
    </w:rPr>
  </w:style>
  <w:style w:type="character" w:styleId="Kommentarzeichen">
    <w:name w:val="annotation reference"/>
    <w:basedOn w:val="Absatz-Standardschriftart"/>
    <w:uiPriority w:val="99"/>
    <w:semiHidden/>
    <w:unhideWhenUsed/>
    <w:rsid w:val="009743F9"/>
    <w:rPr>
      <w:sz w:val="16"/>
      <w:szCs w:val="16"/>
    </w:rPr>
  </w:style>
  <w:style w:type="paragraph" w:styleId="berarbeitung">
    <w:name w:val="Revision"/>
    <w:hidden/>
    <w:uiPriority w:val="99"/>
    <w:semiHidden/>
    <w:rsid w:val="00E53F75"/>
    <w:rPr>
      <w:sz w:val="24"/>
      <w:szCs w:val="24"/>
    </w:rPr>
  </w:style>
  <w:style w:type="paragraph" w:styleId="Listenabsatz">
    <w:name w:val="List Paragraph"/>
    <w:basedOn w:val="Standard"/>
    <w:uiPriority w:val="34"/>
    <w:qFormat/>
    <w:rsid w:val="00435583"/>
    <w:pPr>
      <w:ind w:left="720"/>
      <w:contextualSpacing/>
    </w:pPr>
  </w:style>
  <w:style w:type="character" w:customStyle="1" w:styleId="KommentartextZchn1">
    <w:name w:val="Kommentartext Zchn1"/>
    <w:basedOn w:val="Absatz-Standardschriftart"/>
    <w:uiPriority w:val="99"/>
    <w:semiHidden/>
    <w:rsid w:val="005D5488"/>
    <w:rPr>
      <w:sz w:val="20"/>
      <w:szCs w:val="20"/>
    </w:rPr>
  </w:style>
  <w:style w:type="character" w:customStyle="1" w:styleId="KommentarthemaZchn1">
    <w:name w:val="Kommentarthema Zchn1"/>
    <w:basedOn w:val="KommentartextZchn1"/>
    <w:uiPriority w:val="99"/>
    <w:semiHidden/>
    <w:rsid w:val="005D5488"/>
    <w:rPr>
      <w:b/>
      <w:bCs/>
      <w:sz w:val="20"/>
      <w:szCs w:val="20"/>
    </w:rPr>
  </w:style>
  <w:style w:type="character" w:styleId="NichtaufgelsteErwhnung">
    <w:name w:val="Unresolved Mention"/>
    <w:basedOn w:val="Absatz-Standardschriftart"/>
    <w:uiPriority w:val="99"/>
    <w:semiHidden/>
    <w:unhideWhenUsed/>
    <w:rsid w:val="000B7B75"/>
    <w:rPr>
      <w:color w:val="605E5C"/>
      <w:shd w:val="clear" w:color="auto" w:fill="E1DFDD"/>
    </w:rPr>
  </w:style>
  <w:style w:type="character" w:styleId="Erwhnung">
    <w:name w:val="Mention"/>
    <w:basedOn w:val="Absatz-Standardschriftart"/>
    <w:uiPriority w:val="99"/>
    <w:unhideWhenUsed/>
    <w:rsid w:val="00274F27"/>
    <w:rPr>
      <w:color w:val="2B579A"/>
      <w:shd w:val="clear" w:color="auto" w:fill="E1DFDD"/>
    </w:rPr>
  </w:style>
  <w:style w:type="character" w:customStyle="1" w:styleId="berschrift2Zchn">
    <w:name w:val="Überschrift 2 Zchn"/>
    <w:basedOn w:val="Absatz-Standardschriftart"/>
    <w:uiPriority w:val="99"/>
    <w:semiHidden/>
    <w:locked/>
    <w:rsid w:val="0024599A"/>
    <w:rPr>
      <w:rFonts w:ascii="Cambria" w:hAnsi="Cambria" w:cs="Times New Roman"/>
      <w:b/>
      <w:bCs/>
      <w:i/>
      <w:iCs/>
      <w:sz w:val="28"/>
      <w:szCs w:val="28"/>
    </w:rPr>
  </w:style>
  <w:style w:type="character" w:customStyle="1" w:styleId="KopfzeileZchn">
    <w:name w:val="Kopfzeile Zchn"/>
    <w:basedOn w:val="Absatz-Standardschriftart"/>
    <w:uiPriority w:val="99"/>
    <w:semiHidden/>
    <w:locked/>
    <w:rsid w:val="0024599A"/>
    <w:rPr>
      <w:rFonts w:cs="Times New Roman"/>
      <w:sz w:val="24"/>
      <w:szCs w:val="24"/>
    </w:rPr>
  </w:style>
  <w:style w:type="character" w:customStyle="1" w:styleId="FuzeileZchn">
    <w:name w:val="Fußzeile Zchn"/>
    <w:basedOn w:val="Absatz-Standardschriftart"/>
    <w:uiPriority w:val="99"/>
    <w:locked/>
    <w:rsid w:val="0024599A"/>
    <w:rPr>
      <w:rFonts w:cs="Times New Roman"/>
      <w:sz w:val="24"/>
      <w:szCs w:val="24"/>
    </w:rPr>
  </w:style>
  <w:style w:type="character" w:customStyle="1" w:styleId="KopfzeileZchn1">
    <w:name w:val="Kopfzeile Zchn1"/>
    <w:basedOn w:val="Absatz-Standardschriftart"/>
    <w:uiPriority w:val="99"/>
    <w:semiHidden/>
    <w:rsid w:val="00154C94"/>
    <w:rPr>
      <w:sz w:val="24"/>
      <w:szCs w:val="24"/>
    </w:rPr>
  </w:style>
  <w:style w:type="character" w:customStyle="1" w:styleId="FuzeileZchn1">
    <w:name w:val="Fußzeile Zchn1"/>
    <w:basedOn w:val="Absatz-Standardschriftart"/>
    <w:uiPriority w:val="99"/>
    <w:rsid w:val="00154C94"/>
    <w:rPr>
      <w:sz w:val="24"/>
      <w:szCs w:val="24"/>
    </w:rPr>
  </w:style>
  <w:style w:type="character" w:customStyle="1" w:styleId="KommentartextZchn">
    <w:name w:val="Kommentartext Zchn"/>
    <w:basedOn w:val="Absatz-Standardschriftart"/>
    <w:uiPriority w:val="99"/>
    <w:rsid w:val="00154C94"/>
    <w:rPr>
      <w:sz w:val="20"/>
      <w:szCs w:val="20"/>
    </w:rPr>
  </w:style>
  <w:style w:type="character" w:customStyle="1" w:styleId="KommentarthemaZchn">
    <w:name w:val="Kommentarthema Zchn"/>
    <w:basedOn w:val="KommentartextZchn"/>
    <w:uiPriority w:val="99"/>
    <w:semiHidden/>
    <w:rsid w:val="00154C94"/>
    <w:rPr>
      <w:b/>
      <w:bCs/>
      <w:sz w:val="20"/>
      <w:szCs w:val="20"/>
    </w:rPr>
  </w:style>
  <w:style w:type="paragraph" w:styleId="Kopfzeile">
    <w:name w:val="header"/>
    <w:basedOn w:val="Standard"/>
    <w:link w:val="KopfzeileZchn2"/>
    <w:uiPriority w:val="99"/>
    <w:unhideWhenUsed/>
    <w:rsid w:val="0015284A"/>
    <w:pPr>
      <w:tabs>
        <w:tab w:val="center" w:pos="4680"/>
        <w:tab w:val="right" w:pos="9360"/>
      </w:tabs>
    </w:pPr>
  </w:style>
  <w:style w:type="character" w:customStyle="1" w:styleId="KopfzeileZchn2">
    <w:name w:val="Kopfzeile Zchn2"/>
    <w:basedOn w:val="Absatz-Standardschriftart"/>
    <w:link w:val="Kopfzeile"/>
    <w:uiPriority w:val="99"/>
    <w:rsid w:val="0015284A"/>
    <w:rPr>
      <w:sz w:val="24"/>
      <w:szCs w:val="24"/>
    </w:rPr>
  </w:style>
  <w:style w:type="paragraph" w:styleId="Fuzeile">
    <w:name w:val="footer"/>
    <w:basedOn w:val="Standard"/>
    <w:link w:val="FuzeileZchn2"/>
    <w:uiPriority w:val="99"/>
    <w:unhideWhenUsed/>
    <w:rsid w:val="0015284A"/>
    <w:pPr>
      <w:tabs>
        <w:tab w:val="center" w:pos="4680"/>
        <w:tab w:val="right" w:pos="9360"/>
      </w:tabs>
    </w:pPr>
  </w:style>
  <w:style w:type="character" w:customStyle="1" w:styleId="FuzeileZchn2">
    <w:name w:val="Fußzeile Zchn2"/>
    <w:basedOn w:val="Absatz-Standardschriftart"/>
    <w:link w:val="Fuzeile"/>
    <w:uiPriority w:val="99"/>
    <w:rsid w:val="001528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lcf76f155ced4ddcb4097134ff3c332f xmlns="f346cd05-0f46-482e-b96e-e3a44d77373a">
      <Terms xmlns="http://schemas.microsoft.com/office/infopath/2007/PartnerControls"/>
    </lcf76f155ced4ddcb4097134ff3c332f>
    <TaxCatchAll xmlns="4301684f-1559-4d3f-bfff-e8a8e3893d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7194956963F84CB325FA1B62EF5F57" ma:contentTypeVersion="18" ma:contentTypeDescription="Create a new document." ma:contentTypeScope="" ma:versionID="875e8f8aaf09d8d9100c1f7d684effe7">
  <xsd:schema xmlns:xsd="http://www.w3.org/2001/XMLSchema" xmlns:xs="http://www.w3.org/2001/XMLSchema" xmlns:p="http://schemas.microsoft.com/office/2006/metadata/properties" xmlns:ns2="44a56295-c29e-4898-8136-a54736c65b82" xmlns:ns3="f346cd05-0f46-482e-b96e-e3a44d77373a" xmlns:ns4="4301684f-1559-4d3f-bfff-e8a8e3893d45" targetNamespace="http://schemas.microsoft.com/office/2006/metadata/properties" ma:root="true" ma:fieldsID="b44255f533947abcae651fc960a0b1d8" ns2:_="" ns3:_="" ns4:_="">
    <xsd:import namespace="44a56295-c29e-4898-8136-a54736c65b82"/>
    <xsd:import namespace="f346cd05-0f46-482e-b96e-e3a44d77373a"/>
    <xsd:import namespace="4301684f-1559-4d3f-bfff-e8a8e3893d45"/>
    <xsd:element name="properties">
      <xsd:complexType>
        <xsd:sequence>
          <xsd:element name="documentManagement">
            <xsd:complexType>
              <xsd:all>
                <xsd:element ref="ns2:Descriptions" minOccurs="0"/>
                <xsd:element ref="ns2:Keyword"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6cd05-0f46-482e-b96e-e3a44d7737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ee89e71-04cd-405e-9ca3-99e020c1694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01684f-1559-4d3f-bfff-e8a8e3893d4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cd8633b-6f02-4a8c-8cf1-4be26ad0fb31}" ma:internalName="TaxCatchAll" ma:showField="CatchAllData" ma:web="4301684f-1559-4d3f-bfff-e8a8e3893d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ee89e71-04cd-405e-9ca3-99e020c1694d" ContentTypeId="0x0101" PreviousValue="false"/>
</file>

<file path=customXml/itemProps1.xml><?xml version="1.0" encoding="utf-8"?>
<ds:datastoreItem xmlns:ds="http://schemas.openxmlformats.org/officeDocument/2006/customXml" ds:itemID="{3B7D3C62-4430-4BDC-9B9C-ACF24E704A00}">
  <ds:schemaRefs>
    <ds:schemaRef ds:uri="http://schemas.microsoft.com/sharepoint/v3/contenttype/forms"/>
  </ds:schemaRefs>
</ds:datastoreItem>
</file>

<file path=customXml/itemProps2.xml><?xml version="1.0" encoding="utf-8"?>
<ds:datastoreItem xmlns:ds="http://schemas.openxmlformats.org/officeDocument/2006/customXml" ds:itemID="{1B7B7E3C-3DCD-4E16-9BD8-5A6D0581CC80}">
  <ds:schemaRefs>
    <ds:schemaRef ds:uri="http://schemas.microsoft.com/office/2006/metadata/properties"/>
    <ds:schemaRef ds:uri="http://schemas.microsoft.com/office/infopath/2007/PartnerControls"/>
    <ds:schemaRef ds:uri="44a56295-c29e-4898-8136-a54736c65b82"/>
    <ds:schemaRef ds:uri="f346cd05-0f46-482e-b96e-e3a44d77373a"/>
    <ds:schemaRef ds:uri="4301684f-1559-4d3f-bfff-e8a8e3893d45"/>
  </ds:schemaRefs>
</ds:datastoreItem>
</file>

<file path=customXml/itemProps3.xml><?xml version="1.0" encoding="utf-8"?>
<ds:datastoreItem xmlns:ds="http://schemas.openxmlformats.org/officeDocument/2006/customXml" ds:itemID="{C4201BE2-32C7-4387-A6E7-5A29154DD856}"/>
</file>

<file path=customXml/itemProps4.xml><?xml version="1.0" encoding="utf-8"?>
<ds:datastoreItem xmlns:ds="http://schemas.openxmlformats.org/officeDocument/2006/customXml" ds:itemID="{ECB0248D-8DB4-4541-A9E0-81C83F7B2D6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2066</Words>
  <Characters>13020</Characters>
  <Application>Microsoft Office Word</Application>
  <DocSecurity>0</DocSecurity>
  <Lines>108</Lines>
  <Paragraphs>30</Paragraphs>
  <ScaleCrop>false</ScaleCrop>
  <Company/>
  <LinksUpToDate>false</LinksUpToDate>
  <CharactersWithSpaces>15056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2026-09-01T06:40:00Z</dcterms:created>
  <dcterms:modified xsi:type="dcterms:W3CDTF">2026-09-04T10:11:00Z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0x010100F77194956963F84CB325FA1B62EF5F57</vt:lpwstr>
  </property>
  <property fmtid="{D5CDD505-2E9C-101B-9397-08002B2CF9AE}" pid="3" name="MediaServiceImageTags">
    <vt:lpwstr/>
  </property>
</Properties>
</file>