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1B5C24EF" w:rsidR="008E6675" w:rsidRPr="005638EB" w:rsidRDefault="006D7FCE" w:rsidP="005638EB">
            <w:pPr>
              <w:rPr>
                <w:rFonts w:ascii="Arial Narrow" w:hAnsi="Arial Narrow"/>
              </w:rPr>
            </w:pPr>
            <w:r>
              <w:rPr>
                <w:rFonts w:ascii="Arial Narrow" w:hAnsi="Arial Narrow"/>
                <w:sz w:val="22"/>
              </w:rPr>
              <w:t>Dieses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10"/>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D31921" w14:paraId="3534B4A0" w14:textId="77777777" w:rsidTr="000B5149">
        <w:tc>
          <w:tcPr>
            <w:tcW w:w="9212" w:type="dxa"/>
          </w:tcPr>
          <w:p w14:paraId="2C182448" w14:textId="680D36B7" w:rsidR="000B5149" w:rsidRPr="00394E09" w:rsidRDefault="00D31921" w:rsidP="000B5149">
            <w:pPr>
              <w:rPr>
                <w:rFonts w:ascii="Arial Narrow" w:hAnsi="Arial Narrow"/>
                <w:sz w:val="22"/>
              </w:rPr>
            </w:pPr>
            <w:r w:rsidRPr="00D31921">
              <w:rPr>
                <w:rFonts w:ascii="Arial Narrow" w:hAnsi="Arial Narrow"/>
                <w:sz w:val="22"/>
              </w:rPr>
              <w:t xml:space="preserve">HRD-Diagnostik beim Ovarialkarzinom, Eileiterkarzinom oder primären </w:t>
            </w:r>
            <w:proofErr w:type="spellStart"/>
            <w:r w:rsidRPr="00D31921">
              <w:rPr>
                <w:rFonts w:ascii="Arial Narrow" w:hAnsi="Arial Narrow"/>
                <w:sz w:val="22"/>
              </w:rPr>
              <w:t>Peritonealkarzinom</w:t>
            </w:r>
            <w:proofErr w:type="spellEnd"/>
          </w:p>
        </w:tc>
      </w:tr>
    </w:tbl>
    <w:p w14:paraId="42022921" w14:textId="77777777" w:rsidR="008E6675" w:rsidRPr="00D31921"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03804348" w14:textId="2D090220" w:rsidR="008E6675" w:rsidRPr="005638EB" w:rsidRDefault="00E71974" w:rsidP="005638EB">
            <w:pPr>
              <w:rPr>
                <w:rFonts w:ascii="Arial Narrow" w:hAnsi="Arial Narrow"/>
              </w:rPr>
            </w:pPr>
            <w:r w:rsidRPr="00E71974">
              <w:rPr>
                <w:rFonts w:ascii="Arial Narrow" w:hAnsi="Arial Narrow"/>
                <w:sz w:val="22"/>
              </w:rPr>
              <w:t xml:space="preserve">Molekularpathologische Diagnostik bei erwachsenen Patientinnen mit einem fortgeschrittenen (FIGO-Stadien III und IV) high-grade epithelialen Ovarialkarzinom, Eileiterkarzinom oder primären </w:t>
            </w:r>
            <w:proofErr w:type="spellStart"/>
            <w:r w:rsidRPr="00E71974">
              <w:rPr>
                <w:rFonts w:ascii="Arial Narrow" w:hAnsi="Arial Narrow"/>
                <w:sz w:val="22"/>
              </w:rPr>
              <w:t>Peritonealkarzinom</w:t>
            </w:r>
            <w:proofErr w:type="spellEnd"/>
            <w:r w:rsidRPr="00E71974">
              <w:rPr>
                <w:rFonts w:ascii="Arial Narrow" w:hAnsi="Arial Narrow"/>
                <w:sz w:val="22"/>
              </w:rPr>
              <w:t xml:space="preserve">, die nach einer abgeschlossenen Platinbasierten Erstlinien-Chemotherapie in Kombination mit Bevacizumab ein Ansprechen (vollständig oder partiell) haben und deren Tumor </w:t>
            </w:r>
            <w:r w:rsidR="009511D7">
              <w:rPr>
                <w:rFonts w:ascii="Arial Narrow" w:hAnsi="Arial Narrow"/>
                <w:sz w:val="22"/>
              </w:rPr>
              <w:t xml:space="preserve">eine positive homologe Rekombinations-Defizienz (HRD) aufweist. </w:t>
            </w:r>
          </w:p>
        </w:tc>
      </w:tr>
    </w:tbl>
    <w:p w14:paraId="5C4D6932" w14:textId="77777777" w:rsidR="004C4F82" w:rsidRDefault="004C4F82"/>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18C26B16" w:rsidR="004C4F82" w:rsidRPr="001C4427"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4275C913"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w:t>
            </w:r>
            <w:proofErr w:type="gramStart"/>
            <w:r w:rsidR="009B6935" w:rsidRPr="009B6935">
              <w:rPr>
                <w:rFonts w:ascii="Arial Narrow" w:hAnsi="Arial Narrow"/>
                <w:sz w:val="22"/>
                <w:highlight w:val="yellow"/>
              </w:rPr>
              <w:t>ja Anfrage</w:t>
            </w:r>
            <w:proofErr w:type="gramEnd"/>
            <w:r w:rsidR="009B6935" w:rsidRPr="009B6935">
              <w:rPr>
                <w:rFonts w:ascii="Arial Narrow" w:hAnsi="Arial Narrow"/>
                <w:sz w:val="22"/>
                <w:highlight w:val="yellow"/>
              </w:rPr>
              <w:t xml:space="preserv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2AAC92D8">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2E44BC" w14:paraId="5696BA9D" w14:textId="77777777" w:rsidTr="2AAC92D8">
        <w:tc>
          <w:tcPr>
            <w:tcW w:w="9212" w:type="dxa"/>
          </w:tcPr>
          <w:p w14:paraId="785F092C" w14:textId="77777777" w:rsidR="00DB14F4" w:rsidRDefault="00B5130D" w:rsidP="0078272D">
            <w:pPr>
              <w:rPr>
                <w:rFonts w:ascii="Arial Narrow" w:hAnsi="Arial Narrow"/>
                <w:sz w:val="22"/>
              </w:rPr>
            </w:pPr>
            <w:r w:rsidRPr="00B5130D">
              <w:rPr>
                <w:rFonts w:ascii="Arial Narrow" w:hAnsi="Arial Narrow"/>
                <w:sz w:val="22"/>
              </w:rPr>
              <w:t xml:space="preserve">Der HRD-positive Status wird entweder durch den Nachweis einer BRCA-Mutation und/oder einer genomischen Instabilität (GI) definiert. HR-Defizienz-assoziierte genomische Veränderungen umfassen den genomweiten Verlust der Heterozygotie (LOH), </w:t>
            </w:r>
            <w:proofErr w:type="spellStart"/>
            <w:r w:rsidRPr="00B5130D">
              <w:rPr>
                <w:rFonts w:ascii="Arial Narrow" w:hAnsi="Arial Narrow"/>
                <w:sz w:val="22"/>
              </w:rPr>
              <w:t>allelische</w:t>
            </w:r>
            <w:proofErr w:type="spellEnd"/>
            <w:r w:rsidRPr="00B5130D">
              <w:rPr>
                <w:rFonts w:ascii="Arial Narrow" w:hAnsi="Arial Narrow"/>
                <w:sz w:val="22"/>
              </w:rPr>
              <w:t xml:space="preserve"> </w:t>
            </w:r>
            <w:proofErr w:type="spellStart"/>
            <w:r w:rsidRPr="00B5130D">
              <w:rPr>
                <w:rFonts w:ascii="Arial Narrow" w:hAnsi="Arial Narrow"/>
                <w:sz w:val="22"/>
              </w:rPr>
              <w:t>Imbalancen</w:t>
            </w:r>
            <w:proofErr w:type="spellEnd"/>
            <w:r w:rsidRPr="00B5130D">
              <w:rPr>
                <w:rFonts w:ascii="Arial Narrow" w:hAnsi="Arial Narrow"/>
                <w:sz w:val="22"/>
              </w:rPr>
              <w:t xml:space="preserve"> in den Telomerregionen (TAI) sowie langstreckige DNA-Brüche (LST) – stetige Messwerte, die nach vordefinierten Kriterien gewertet werden. Aus der Kombination dieser drei Messwerte und ihrer jeweiligen Wertung ergibt sich der zusammengesetzte genomische Instabilitätsscore (</w:t>
            </w:r>
            <w:proofErr w:type="spellStart"/>
            <w:r w:rsidRPr="00B5130D">
              <w:rPr>
                <w:rFonts w:ascii="Arial Narrow" w:hAnsi="Arial Narrow"/>
                <w:sz w:val="22"/>
              </w:rPr>
              <w:t>Genomic</w:t>
            </w:r>
            <w:proofErr w:type="spellEnd"/>
            <w:r w:rsidRPr="00B5130D">
              <w:rPr>
                <w:rFonts w:ascii="Arial Narrow" w:hAnsi="Arial Narrow"/>
                <w:sz w:val="22"/>
              </w:rPr>
              <w:t xml:space="preserve"> </w:t>
            </w:r>
            <w:proofErr w:type="spellStart"/>
            <w:r w:rsidRPr="00B5130D">
              <w:rPr>
                <w:rFonts w:ascii="Arial Narrow" w:hAnsi="Arial Narrow"/>
                <w:sz w:val="22"/>
              </w:rPr>
              <w:t>Instability</w:t>
            </w:r>
            <w:proofErr w:type="spellEnd"/>
            <w:r w:rsidRPr="00B5130D">
              <w:rPr>
                <w:rFonts w:ascii="Arial Narrow" w:hAnsi="Arial Narrow"/>
                <w:sz w:val="22"/>
              </w:rPr>
              <w:t xml:space="preserve"> Score, GIS; auch HRD-Score genannt), der das Ausmaß der in Tumorzellen akkumulierten genomischen Veränderungen quantifiziert. Ein niedrigerer Score spricht für eine geringere, ein höherer Score für eine höhere Wahrscheinlichkeit einer HR-Defizienz der Tumorzellen zum Zeitpunkt der Probenentnahme – relativ zur vorherigen Exposition gegenüber DNA-schädigenden Substanzen. Zur Festlegung eines positiven GIS-Status sollten validierte Assays und Schwellenwerte verwendet werden. Der HRD-positive Status kann somit über einen zusammengesetzten GIS-Score für HR-Defizienz-assoziierte genomische Alterationen definiert werden.</w:t>
            </w:r>
          </w:p>
          <w:p w14:paraId="75F45A5B" w14:textId="77777777" w:rsidR="002E44BC" w:rsidRPr="00CE591C" w:rsidRDefault="002E44BC" w:rsidP="0078272D">
            <w:pPr>
              <w:rPr>
                <w:rFonts w:ascii="Arial Narrow" w:hAnsi="Arial Narrow"/>
                <w:sz w:val="22"/>
                <w:szCs w:val="22"/>
              </w:rPr>
            </w:pPr>
          </w:p>
          <w:p w14:paraId="150A12B0" w14:textId="5EFDE71C" w:rsidR="00E17261" w:rsidRPr="00CE591C" w:rsidRDefault="49674513" w:rsidP="0078272D">
            <w:pPr>
              <w:rPr>
                <w:lang w:val="en-US"/>
              </w:rPr>
            </w:pPr>
            <w:r w:rsidRPr="2AAC92D8">
              <w:rPr>
                <w:rFonts w:ascii="Arial Narrow" w:hAnsi="Arial Narrow"/>
                <w:sz w:val="22"/>
                <w:szCs w:val="22"/>
                <w:lang w:val="en-US"/>
              </w:rPr>
              <w:t xml:space="preserve">Quelle: </w:t>
            </w:r>
            <w:r w:rsidR="2E561ED5" w:rsidRPr="2AAC92D8">
              <w:rPr>
                <w:rFonts w:ascii="Arial Narrow" w:hAnsi="Arial Narrow"/>
                <w:sz w:val="22"/>
                <w:szCs w:val="22"/>
                <w:lang w:val="en-US"/>
              </w:rPr>
              <w:t xml:space="preserve">Leman et al., </w:t>
            </w:r>
            <w:r w:rsidR="20688676" w:rsidRPr="2AAC92D8">
              <w:rPr>
                <w:rFonts w:ascii="Arial Narrow" w:hAnsi="Arial Narrow"/>
                <w:sz w:val="22"/>
                <w:szCs w:val="22"/>
                <w:lang w:val="en-US"/>
              </w:rPr>
              <w:t xml:space="preserve">Validation of the Clinical Use of </w:t>
            </w:r>
            <w:proofErr w:type="spellStart"/>
            <w:r w:rsidR="20688676" w:rsidRPr="2AAC92D8">
              <w:rPr>
                <w:rFonts w:ascii="Arial Narrow" w:hAnsi="Arial Narrow"/>
                <w:sz w:val="22"/>
                <w:szCs w:val="22"/>
                <w:lang w:val="en-US"/>
              </w:rPr>
              <w:t>GIScar</w:t>
            </w:r>
            <w:proofErr w:type="spellEnd"/>
            <w:r w:rsidR="20688676" w:rsidRPr="2AAC92D8">
              <w:rPr>
                <w:rFonts w:ascii="Arial Narrow" w:hAnsi="Arial Narrow"/>
                <w:sz w:val="22"/>
                <w:szCs w:val="22"/>
                <w:lang w:val="en-US"/>
              </w:rPr>
              <w:t>, an Academic-developed Genomic Instability Score Predicting Sensitivity to Maintenance Olaparib for Ovarian Cancer, Precision Medicine and Imaging, 2023</w:t>
            </w:r>
            <w:r w:rsidR="41099DDB" w:rsidRPr="2AAC92D8">
              <w:rPr>
                <w:rFonts w:ascii="Arial Narrow" w:hAnsi="Arial Narrow"/>
                <w:sz w:val="22"/>
                <w:szCs w:val="22"/>
                <w:lang w:val="en-US"/>
              </w:rPr>
              <w:t>, https://doi.org/10.1158/1078-0432.CCR-23-0898</w:t>
            </w:r>
            <w:r w:rsidR="20688676" w:rsidRPr="2AAC92D8">
              <w:rPr>
                <w:rFonts w:ascii="Arial Narrow" w:hAnsi="Arial Narrow"/>
                <w:sz w:val="22"/>
                <w:szCs w:val="22"/>
                <w:lang w:val="en-US"/>
              </w:rPr>
              <w:t>;</w:t>
            </w:r>
            <w:r w:rsidR="1606BAEA" w:rsidRPr="2AAC92D8">
              <w:rPr>
                <w:rFonts w:ascii="Arial Narrow" w:hAnsi="Arial Narrow"/>
                <w:sz w:val="22"/>
                <w:szCs w:val="22"/>
                <w:lang w:val="en-US"/>
              </w:rPr>
              <w:t xml:space="preserve"> </w:t>
            </w:r>
            <w:proofErr w:type="spellStart"/>
            <w:r w:rsidR="1606BAEA" w:rsidRPr="2AAC92D8">
              <w:rPr>
                <w:rFonts w:ascii="Arial Narrow" w:hAnsi="Arial Narrow"/>
                <w:sz w:val="22"/>
                <w:szCs w:val="22"/>
                <w:lang w:val="en-US"/>
              </w:rPr>
              <w:t>aufgerufen</w:t>
            </w:r>
            <w:proofErr w:type="spellEnd"/>
            <w:r w:rsidR="1606BAEA" w:rsidRPr="2AAC92D8">
              <w:rPr>
                <w:rFonts w:ascii="Arial Narrow" w:hAnsi="Arial Narrow"/>
                <w:sz w:val="22"/>
                <w:szCs w:val="22"/>
                <w:lang w:val="en-US"/>
              </w:rPr>
              <w:t xml:space="preserve"> am 10.08.2026.</w:t>
            </w:r>
          </w:p>
          <w:p w14:paraId="0AF79188" w14:textId="7838CE08" w:rsidR="00E17261" w:rsidRPr="002E44BC" w:rsidRDefault="35F90B75" w:rsidP="0078272D">
            <w:r w:rsidRPr="2AAC92D8">
              <w:rPr>
                <w:rFonts w:ascii="Arial Narrow" w:hAnsi="Arial Narrow"/>
                <w:sz w:val="22"/>
                <w:szCs w:val="22"/>
              </w:rPr>
              <w:lastRenderedPageBreak/>
              <w:t>Leitlinienprogramm Onkologie (Deutsche Krebsgesellschaft, Deutsche Krebshilfe, AWMF): S3-Leitlinie Diagnostik, Therapie und Nachsorge maligner Ovarialtumoren, Langversion 6.1, 2026, AWMF-Registernummer 032-035OL, https://www.leitlinienprogramm-onkologie.de/fileadmin/user_upload/Downloads/Leitlinien/Ovarialkarzinom/Version_6/LL_Ovarialkarzinom_Langversion_6.1.pdf; Zugriff: 10.08.26</w:t>
            </w:r>
          </w:p>
        </w:tc>
      </w:tr>
    </w:tbl>
    <w:p w14:paraId="6F81F951" w14:textId="77777777" w:rsidR="008E6675" w:rsidRPr="00CE591C"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276EB151" w14:textId="04E60056" w:rsidR="00CC7E5F" w:rsidRPr="006354B6" w:rsidRDefault="00620E2E" w:rsidP="00435583">
            <w:pPr>
              <w:rPr>
                <w:rFonts w:ascii="Arial Narrow" w:hAnsi="Arial Narrow"/>
                <w:sz w:val="22"/>
              </w:rPr>
            </w:pPr>
            <w:r w:rsidRPr="00D52005">
              <w:rPr>
                <w:rFonts w:ascii="Arial Narrow" w:hAnsi="Arial Narrow"/>
                <w:sz w:val="22"/>
              </w:rPr>
              <w:t>1-996</w:t>
            </w:r>
          </w:p>
        </w:tc>
      </w:tr>
    </w:tbl>
    <w:p w14:paraId="63A2C327" w14:textId="77777777" w:rsidR="00DC6CBD" w:rsidRPr="006354B6" w:rsidRDefault="00DC6CBD" w:rsidP="00EE0D0B">
      <w:pPr>
        <w:jc w:val="cente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5638EB" w14:paraId="1C363EAC" w14:textId="77777777" w:rsidTr="0036178C">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36178C">
        <w:tc>
          <w:tcPr>
            <w:tcW w:w="9212" w:type="dxa"/>
          </w:tcPr>
          <w:p w14:paraId="48201DB1" w14:textId="2528FDE4" w:rsidR="004C4F82" w:rsidRPr="00DD5FBB" w:rsidRDefault="00DD5FBB" w:rsidP="00435583">
            <w:pPr>
              <w:rPr>
                <w:rFonts w:ascii="Arial Narrow" w:hAnsi="Arial Narrow"/>
                <w:sz w:val="22"/>
              </w:rPr>
            </w:pPr>
            <w:r w:rsidRPr="00DD5FBB">
              <w:rPr>
                <w:rFonts w:ascii="Arial Narrow" w:hAnsi="Arial Narrow"/>
                <w:sz w:val="22"/>
              </w:rPr>
              <w:t>Der OPS-Code 1-996 kodiert Hochdurchsatz-Sequenzierungsverfahren [NGS] zur Analyse genetischer Veränderungen bei/in soliden bösartigen Neubildungen.</w:t>
            </w:r>
            <w:r w:rsidR="007310DD">
              <w:t xml:space="preserve"> </w:t>
            </w:r>
            <w:r w:rsidR="007310DD" w:rsidRPr="007310DD">
              <w:rPr>
                <w:rFonts w:ascii="Arial Narrow" w:hAnsi="Arial Narrow"/>
                <w:sz w:val="22"/>
              </w:rPr>
              <w:t xml:space="preserve">Die Unterteilung erfolgt nach der Größe der analysierten kodierenden Sequenz in Kilobasen (1-996.00 bis 1-996.08 für Gewebeproben, </w:t>
            </w:r>
            <w:r w:rsidR="0021007F">
              <w:rPr>
                <w:rFonts w:ascii="Arial Narrow" w:hAnsi="Arial Narrow"/>
                <w:sz w:val="22"/>
              </w:rPr>
              <w:t>1-996</w:t>
            </w:r>
            <w:r w:rsidR="007310DD" w:rsidRPr="007310DD">
              <w:rPr>
                <w:rFonts w:ascii="Arial Narrow" w:hAnsi="Arial Narrow"/>
                <w:sz w:val="22"/>
              </w:rPr>
              <w:t>.10</w:t>
            </w:r>
            <w:r w:rsidR="00615E97">
              <w:rPr>
                <w:rFonts w:ascii="Arial Narrow" w:hAnsi="Arial Narrow"/>
                <w:sz w:val="22"/>
              </w:rPr>
              <w:t xml:space="preserve"> bis </w:t>
            </w:r>
            <w:r w:rsidR="00BA58AE">
              <w:rPr>
                <w:rFonts w:ascii="Arial Narrow" w:hAnsi="Arial Narrow"/>
                <w:sz w:val="22"/>
              </w:rPr>
              <w:t>1-996.</w:t>
            </w:r>
            <w:r w:rsidR="007310DD" w:rsidRPr="007310DD">
              <w:rPr>
                <w:rFonts w:ascii="Arial Narrow" w:hAnsi="Arial Narrow"/>
                <w:sz w:val="22"/>
              </w:rPr>
              <w:t xml:space="preserve">18 für </w:t>
            </w:r>
            <w:proofErr w:type="spellStart"/>
            <w:r w:rsidR="007310DD" w:rsidRPr="007310DD">
              <w:rPr>
                <w:rFonts w:ascii="Arial Narrow" w:hAnsi="Arial Narrow"/>
                <w:sz w:val="22"/>
              </w:rPr>
              <w:t>Flüssigbiopsate</w:t>
            </w:r>
            <w:proofErr w:type="spellEnd"/>
            <w:r w:rsidR="00A46637">
              <w:rPr>
                <w:rFonts w:ascii="Arial Narrow" w:hAnsi="Arial Narrow"/>
                <w:sz w:val="22"/>
              </w:rPr>
              <w:t>)</w:t>
            </w:r>
          </w:p>
        </w:tc>
      </w:tr>
    </w:tbl>
    <w:p w14:paraId="497C648B" w14:textId="77777777" w:rsidR="004C4F82" w:rsidRPr="005638EB" w:rsidRDefault="004C4F82"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CB0C43" w14:paraId="158F0243" w14:textId="77777777">
        <w:tc>
          <w:tcPr>
            <w:tcW w:w="9212" w:type="dxa"/>
          </w:tcPr>
          <w:p w14:paraId="28C2CA57" w14:textId="77777777" w:rsidR="008E6675" w:rsidRDefault="004E285F" w:rsidP="00C11458">
            <w:pPr>
              <w:rPr>
                <w:rFonts w:ascii="Arial Narrow" w:hAnsi="Arial Narrow"/>
                <w:bCs/>
                <w:sz w:val="22"/>
              </w:rPr>
            </w:pPr>
            <w:proofErr w:type="spellStart"/>
            <w:r w:rsidRPr="00573643">
              <w:rPr>
                <w:rFonts w:ascii="Arial Narrow" w:hAnsi="Arial Narrow"/>
                <w:color w:val="000000" w:themeColor="text1"/>
                <w:sz w:val="22"/>
              </w:rPr>
              <w:t>Olaparib</w:t>
            </w:r>
            <w:proofErr w:type="spellEnd"/>
            <w:r w:rsidRPr="00573643">
              <w:rPr>
                <w:rFonts w:ascii="Arial Narrow" w:hAnsi="Arial Narrow"/>
                <w:color w:val="000000" w:themeColor="text1"/>
                <w:sz w:val="22"/>
              </w:rPr>
              <w:t xml:space="preserve"> in Kombination mit Bevacizumab wird zur Erhaltungstherapie erwachsener Patientinnen mit fortgeschrittenem (FIGO-Stadien III/IV) high-grade epithelialem Ovarialkarzinom, Eileiterkarzinom oder primärem </w:t>
            </w:r>
            <w:proofErr w:type="spellStart"/>
            <w:r w:rsidRPr="00573643">
              <w:rPr>
                <w:rFonts w:ascii="Arial Narrow" w:hAnsi="Arial Narrow"/>
                <w:color w:val="000000" w:themeColor="text1"/>
                <w:sz w:val="22"/>
              </w:rPr>
              <w:t>Peritonealkarzinom</w:t>
            </w:r>
            <w:proofErr w:type="spellEnd"/>
            <w:r w:rsidRPr="00573643">
              <w:rPr>
                <w:rFonts w:ascii="Arial Narrow" w:hAnsi="Arial Narrow"/>
                <w:color w:val="000000" w:themeColor="text1"/>
                <w:sz w:val="22"/>
              </w:rPr>
              <w:t xml:space="preserve"> </w:t>
            </w:r>
            <w:r w:rsidRPr="004E285F">
              <w:rPr>
                <w:rFonts w:ascii="Arial Narrow" w:hAnsi="Arial Narrow"/>
                <w:bCs/>
                <w:sz w:val="22"/>
              </w:rPr>
              <w:t>angewendet, die nach abgeschlossener platinbasierter Erstlinien-Chemotherapie in Kombination mit Bevacizumab ein Ansprechen (komplett oder partiell) zeigen und deren Tumor mit einem HRD-positiven Status assoziiert ist – definiert durch eine BRCA1/2-Mutation und/oder genomische Instabilität. Voraussetzung für den Einsatz ist demnach der vorherige Nachweis dieser homologen Rekombinations-Defizienz (HRD) mittels entsprechender Diagnostik.</w:t>
            </w:r>
          </w:p>
          <w:p w14:paraId="5EEFC6F4" w14:textId="77777777" w:rsidR="00BF468C" w:rsidRDefault="00BF468C" w:rsidP="00C11458">
            <w:pPr>
              <w:rPr>
                <w:rFonts w:ascii="Arial Narrow" w:hAnsi="Arial Narrow"/>
                <w:bCs/>
                <w:sz w:val="22"/>
              </w:rPr>
            </w:pPr>
          </w:p>
          <w:p w14:paraId="19C9BA00" w14:textId="77777777" w:rsidR="00867FC4" w:rsidRDefault="00751154" w:rsidP="00C11458">
            <w:pPr>
              <w:rPr>
                <w:rFonts w:ascii="Arial Narrow" w:hAnsi="Arial Narrow"/>
                <w:bCs/>
                <w:sz w:val="22"/>
              </w:rPr>
            </w:pPr>
            <w:r>
              <w:rPr>
                <w:rFonts w:ascii="Arial Narrow" w:hAnsi="Arial Narrow"/>
                <w:bCs/>
                <w:sz w:val="22"/>
              </w:rPr>
              <w:t>Quellen:</w:t>
            </w:r>
          </w:p>
          <w:p w14:paraId="5BBD9EB6" w14:textId="376B5BB1" w:rsidR="00751154" w:rsidRDefault="00806471" w:rsidP="00C11458">
            <w:pPr>
              <w:rPr>
                <w:rFonts w:ascii="Arial Narrow" w:hAnsi="Arial Narrow"/>
                <w:bCs/>
                <w:sz w:val="22"/>
              </w:rPr>
            </w:pPr>
            <w:r>
              <w:rPr>
                <w:rFonts w:ascii="Arial Narrow" w:hAnsi="Arial Narrow"/>
                <w:bCs/>
                <w:sz w:val="22"/>
              </w:rPr>
              <w:t>GBA</w:t>
            </w:r>
            <w:r w:rsidR="00E17261">
              <w:rPr>
                <w:rFonts w:ascii="Arial Narrow" w:hAnsi="Arial Narrow"/>
                <w:bCs/>
                <w:sz w:val="22"/>
              </w:rPr>
              <w:t xml:space="preserve"> „Nutzenbewertungsverfahren zum Wirkstoff </w:t>
            </w:r>
            <w:proofErr w:type="spellStart"/>
            <w:r w:rsidR="00E17261">
              <w:rPr>
                <w:rFonts w:ascii="Arial Narrow" w:hAnsi="Arial Narrow"/>
                <w:bCs/>
                <w:sz w:val="22"/>
              </w:rPr>
              <w:t>Olaparib</w:t>
            </w:r>
            <w:proofErr w:type="spellEnd"/>
            <w:r w:rsidR="00E17261">
              <w:rPr>
                <w:rFonts w:ascii="Arial Narrow" w:hAnsi="Arial Narrow"/>
                <w:bCs/>
                <w:sz w:val="22"/>
              </w:rPr>
              <w:t>“</w:t>
            </w:r>
            <w:r>
              <w:rPr>
                <w:rFonts w:ascii="Arial Narrow" w:hAnsi="Arial Narrow"/>
                <w:bCs/>
                <w:sz w:val="22"/>
              </w:rPr>
              <w:t xml:space="preserve">, aufgerufen am </w:t>
            </w:r>
            <w:r w:rsidR="00D5587C">
              <w:rPr>
                <w:rFonts w:ascii="Arial Narrow" w:hAnsi="Arial Narrow"/>
                <w:bCs/>
                <w:sz w:val="22"/>
              </w:rPr>
              <w:t>10.08.2026</w:t>
            </w:r>
          </w:p>
          <w:p w14:paraId="1954B7B0" w14:textId="77777777" w:rsidR="00D5587C" w:rsidRDefault="00D5587C" w:rsidP="00C11458">
            <w:pPr>
              <w:rPr>
                <w:rFonts w:ascii="Arial Narrow" w:hAnsi="Arial Narrow"/>
                <w:bCs/>
                <w:sz w:val="22"/>
              </w:rPr>
            </w:pPr>
            <w:r>
              <w:rPr>
                <w:rFonts w:ascii="Arial Narrow" w:hAnsi="Arial Narrow"/>
                <w:bCs/>
                <w:sz w:val="22"/>
              </w:rPr>
              <w:t>Gelbe Liste, aufgerufen am: 10.08.2026</w:t>
            </w:r>
          </w:p>
          <w:p w14:paraId="606B75B1" w14:textId="1C5F009B" w:rsidR="00D5587C" w:rsidRPr="00CB0C43" w:rsidRDefault="00CB0C43" w:rsidP="00C11458">
            <w:pPr>
              <w:rPr>
                <w:rFonts w:ascii="Arial Narrow" w:hAnsi="Arial Narrow"/>
                <w:bCs/>
                <w:sz w:val="22"/>
              </w:rPr>
            </w:pPr>
            <w:r w:rsidRPr="00CB0C43">
              <w:rPr>
                <w:rFonts w:ascii="Arial Narrow" w:hAnsi="Arial Narrow"/>
                <w:bCs/>
                <w:sz w:val="22"/>
              </w:rPr>
              <w:t>DGHO „</w:t>
            </w:r>
            <w:proofErr w:type="spellStart"/>
            <w:r w:rsidRPr="00CB0C43">
              <w:rPr>
                <w:rFonts w:ascii="Arial Narrow" w:hAnsi="Arial Narrow"/>
                <w:bCs/>
                <w:sz w:val="22"/>
              </w:rPr>
              <w:t>Olaparib</w:t>
            </w:r>
            <w:proofErr w:type="spellEnd"/>
            <w:r w:rsidRPr="00CB0C43">
              <w:rPr>
                <w:rFonts w:ascii="Arial Narrow" w:hAnsi="Arial Narrow"/>
                <w:bCs/>
                <w:sz w:val="22"/>
              </w:rPr>
              <w:t>/Bevacizumab in der</w:t>
            </w:r>
            <w:r>
              <w:rPr>
                <w:rFonts w:ascii="Arial Narrow" w:hAnsi="Arial Narrow"/>
                <w:bCs/>
                <w:sz w:val="22"/>
              </w:rPr>
              <w:t xml:space="preserve"> Erhaltungstherapie des HRD+ Ovar</w:t>
            </w:r>
            <w:r w:rsidR="00C635B1">
              <w:rPr>
                <w:rFonts w:ascii="Arial Narrow" w:hAnsi="Arial Narrow"/>
                <w:bCs/>
                <w:sz w:val="22"/>
              </w:rPr>
              <w:t>ialkarzinoms“, aufgerufen am 10.08.2026</w:t>
            </w:r>
          </w:p>
        </w:tc>
      </w:tr>
    </w:tbl>
    <w:p w14:paraId="2A567A97" w14:textId="77777777" w:rsidR="008E6675" w:rsidRPr="00CB0C43"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tc>
          <w:tcPr>
            <w:tcW w:w="9212" w:type="dxa"/>
          </w:tcPr>
          <w:p w14:paraId="3EC3722F" w14:textId="22D4192A" w:rsidR="00853337" w:rsidRPr="000605E2" w:rsidRDefault="001C6D91" w:rsidP="008C1686">
            <w:pPr>
              <w:rPr>
                <w:rFonts w:ascii="Arial Narrow" w:hAnsi="Arial Narrow"/>
                <w:bCs/>
                <w:color w:val="00B050"/>
                <w:sz w:val="22"/>
              </w:rPr>
            </w:pPr>
            <w:r w:rsidRPr="001C6D91">
              <w:rPr>
                <w:rFonts w:ascii="Arial Narrow" w:hAnsi="Arial Narrow"/>
                <w:bCs/>
                <w:sz w:val="22"/>
              </w:rPr>
              <w:t xml:space="preserve">Diese Methode kommt ergänzend zur histopathologischen Tumortypisierung hinzu und definiert einen neuen Standard bei der pathologischen Differenzialdiagnostik des Ovarialkarzinoms, Eileiterkarzinoms oder primären </w:t>
            </w:r>
            <w:proofErr w:type="spellStart"/>
            <w:r w:rsidRPr="001C6D91">
              <w:rPr>
                <w:rFonts w:ascii="Arial Narrow" w:hAnsi="Arial Narrow"/>
                <w:bCs/>
                <w:sz w:val="22"/>
              </w:rPr>
              <w:t>Peritonealkarzinoms</w:t>
            </w:r>
            <w:proofErr w:type="spellEnd"/>
            <w:r w:rsidRPr="001C6D91">
              <w:rPr>
                <w:rFonts w:ascii="Arial Narrow" w:hAnsi="Arial Narrow"/>
                <w:bCs/>
                <w:sz w:val="22"/>
              </w:rPr>
              <w:t>. Diese neue molekularpathologische Methode ist Grundvoraussetzung für die Verordnung von o.g. spezifischem PARP-Inhibitor in Kombination mit Bevacizumab.</w:t>
            </w:r>
          </w:p>
        </w:tc>
      </w:tr>
    </w:tbl>
    <w:p w14:paraId="073C0909"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tc>
          <w:tcPr>
            <w:tcW w:w="9212" w:type="dxa"/>
          </w:tcPr>
          <w:p w14:paraId="25335173" w14:textId="77777777" w:rsidR="008E6675" w:rsidRPr="00F31C3B" w:rsidRDefault="008E6675" w:rsidP="00E92C57">
            <w:pPr>
              <w:rPr>
                <w:rFonts w:ascii="Arial Narrow" w:hAnsi="Arial Narrow"/>
                <w:bCs/>
                <w:sz w:val="22"/>
              </w:rPr>
            </w:pPr>
            <w:r w:rsidRPr="00F31C3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tc>
          <w:tcPr>
            <w:tcW w:w="9212" w:type="dxa"/>
          </w:tcPr>
          <w:p w14:paraId="6B1FDB47" w14:textId="450725F5" w:rsidR="008E6675" w:rsidRPr="00F31C3B" w:rsidRDefault="002E1CBA" w:rsidP="00C11458">
            <w:pPr>
              <w:rPr>
                <w:rFonts w:ascii="Arial Narrow" w:hAnsi="Arial Narrow"/>
                <w:bCs/>
                <w:sz w:val="22"/>
              </w:rPr>
            </w:pPr>
            <w:r w:rsidRPr="002E1CBA">
              <w:rPr>
                <w:rFonts w:ascii="Arial Narrow" w:hAnsi="Arial Narrow"/>
                <w:bCs/>
                <w:sz w:val="22"/>
              </w:rPr>
              <w:t xml:space="preserve">Bei der HRD-Diagnostik handelt es sich um eine grundsätzlich neue Untersuchungsmethode. </w:t>
            </w:r>
            <w:r w:rsidR="00F31C3B" w:rsidRPr="00F31C3B">
              <w:rPr>
                <w:rFonts w:ascii="Arial Narrow" w:hAnsi="Arial Narrow"/>
                <w:bCs/>
                <w:sz w:val="22"/>
              </w:rPr>
              <w:t xml:space="preserve">Hier wird erstmalig die genomische Instabilität, basierend auf dem genomweiten Verlust der Heterozygotie, </w:t>
            </w:r>
            <w:proofErr w:type="spellStart"/>
            <w:r w:rsidR="00F31C3B" w:rsidRPr="00F31C3B">
              <w:rPr>
                <w:rFonts w:ascii="Arial Narrow" w:hAnsi="Arial Narrow"/>
                <w:bCs/>
                <w:sz w:val="22"/>
              </w:rPr>
              <w:t>allelische</w:t>
            </w:r>
            <w:proofErr w:type="spellEnd"/>
            <w:r w:rsidR="00F31C3B" w:rsidRPr="00F31C3B">
              <w:rPr>
                <w:rFonts w:ascii="Arial Narrow" w:hAnsi="Arial Narrow"/>
                <w:bCs/>
                <w:sz w:val="22"/>
              </w:rPr>
              <w:t xml:space="preserve"> </w:t>
            </w:r>
            <w:proofErr w:type="spellStart"/>
            <w:r w:rsidR="00F31C3B" w:rsidRPr="00F31C3B">
              <w:rPr>
                <w:rFonts w:ascii="Arial Narrow" w:hAnsi="Arial Narrow"/>
                <w:bCs/>
                <w:sz w:val="22"/>
              </w:rPr>
              <w:t>Imbalancen</w:t>
            </w:r>
            <w:proofErr w:type="spellEnd"/>
            <w:r w:rsidR="00F31C3B" w:rsidRPr="00F31C3B">
              <w:rPr>
                <w:rFonts w:ascii="Arial Narrow" w:hAnsi="Arial Narrow"/>
                <w:bCs/>
                <w:sz w:val="22"/>
              </w:rPr>
              <w:t xml:space="preserve"> in den </w:t>
            </w:r>
            <w:proofErr w:type="spellStart"/>
            <w:r w:rsidR="002575F1">
              <w:rPr>
                <w:rFonts w:ascii="Arial Narrow" w:hAnsi="Arial Narrow"/>
                <w:bCs/>
                <w:sz w:val="22"/>
              </w:rPr>
              <w:t>tel</w:t>
            </w:r>
            <w:r w:rsidR="00302F3C">
              <w:rPr>
                <w:rFonts w:ascii="Arial Narrow" w:hAnsi="Arial Narrow"/>
                <w:bCs/>
                <w:sz w:val="22"/>
              </w:rPr>
              <w:t>omernahen</w:t>
            </w:r>
            <w:proofErr w:type="spellEnd"/>
            <w:r w:rsidR="00302F3C">
              <w:rPr>
                <w:rFonts w:ascii="Arial Narrow" w:hAnsi="Arial Narrow"/>
                <w:bCs/>
                <w:sz w:val="22"/>
              </w:rPr>
              <w:t xml:space="preserve"> </w:t>
            </w:r>
            <w:r w:rsidR="00F31C3B" w:rsidRPr="00F31C3B">
              <w:rPr>
                <w:rFonts w:ascii="Arial Narrow" w:hAnsi="Arial Narrow"/>
                <w:bCs/>
                <w:sz w:val="22"/>
              </w:rPr>
              <w:t xml:space="preserve">Regionen und/oder langstreckige DNA-Brüche, und der sich daraus ergebende GIS für die Therapieinitiierung mit einem PARP-Inhibitor herangezogen. </w:t>
            </w:r>
            <w:r w:rsidR="008C79FC" w:rsidRPr="008C79FC">
              <w:rPr>
                <w:rFonts w:ascii="Arial Narrow" w:hAnsi="Arial Narrow"/>
                <w:bCs/>
                <w:sz w:val="22"/>
              </w:rPr>
              <w:t xml:space="preserve">Da für diese Diagnostik bislang keine Vergütung </w:t>
            </w:r>
            <w:r w:rsidR="008C79FC" w:rsidRPr="008C79FC">
              <w:rPr>
                <w:rFonts w:ascii="Arial Narrow" w:hAnsi="Arial Narrow"/>
                <w:bCs/>
                <w:sz w:val="22"/>
              </w:rPr>
              <w:lastRenderedPageBreak/>
              <w:t xml:space="preserve">über NUB oder ZE vorgesehen ist, führen die anfallenden Kosten in den betroffenen DRGs zu einer strukturellen Unterdeckung. </w:t>
            </w:r>
            <w:r w:rsidR="00F31C3B" w:rsidRPr="00F31C3B">
              <w:rPr>
                <w:rFonts w:ascii="Arial Narrow" w:hAnsi="Arial Narrow"/>
                <w:bCs/>
                <w:sz w:val="22"/>
              </w:rPr>
              <w:t xml:space="preserve">Zudem wäre der Einsatz von </w:t>
            </w:r>
            <w:proofErr w:type="spellStart"/>
            <w:r w:rsidR="00F31C3B" w:rsidRPr="00F31C3B">
              <w:rPr>
                <w:rFonts w:ascii="Arial Narrow" w:hAnsi="Arial Narrow"/>
                <w:bCs/>
                <w:sz w:val="22"/>
              </w:rPr>
              <w:t>Olaparib</w:t>
            </w:r>
            <w:proofErr w:type="spellEnd"/>
            <w:r w:rsidR="00F31C3B" w:rsidRPr="00F31C3B">
              <w:rPr>
                <w:rFonts w:ascii="Arial Narrow" w:hAnsi="Arial Narrow"/>
                <w:bCs/>
                <w:sz w:val="22"/>
              </w:rPr>
              <w:t xml:space="preserve"> in Kombination mit Bevacizumab in diesem Anwendungsgebiet ohne vorherigen Nachweis des </w:t>
            </w:r>
            <w:proofErr w:type="gramStart"/>
            <w:r w:rsidR="00F31C3B" w:rsidRPr="00F31C3B">
              <w:rPr>
                <w:rFonts w:ascii="Arial Narrow" w:hAnsi="Arial Narrow"/>
                <w:bCs/>
                <w:sz w:val="22"/>
              </w:rPr>
              <w:t>HRD Status</w:t>
            </w:r>
            <w:proofErr w:type="gramEnd"/>
            <w:r w:rsidR="00F31C3B" w:rsidRPr="00F31C3B">
              <w:rPr>
                <w:rFonts w:ascii="Arial Narrow" w:hAnsi="Arial Narrow"/>
                <w:bCs/>
                <w:sz w:val="22"/>
              </w:rPr>
              <w:t xml:space="preserve"> im stationären Bereich nicht </w:t>
            </w:r>
            <w:proofErr w:type="spellStart"/>
            <w:r w:rsidR="00F31C3B" w:rsidRPr="00F31C3B">
              <w:rPr>
                <w:rFonts w:ascii="Arial Narrow" w:hAnsi="Arial Narrow"/>
                <w:bCs/>
                <w:sz w:val="22"/>
              </w:rPr>
              <w:t>initiierbar</w:t>
            </w:r>
            <w:proofErr w:type="spellEnd"/>
            <w:r w:rsidR="00F31C3B" w:rsidRPr="00F31C3B">
              <w:rPr>
                <w:rFonts w:ascii="Arial Narrow" w:hAnsi="Arial Narrow"/>
                <w:bCs/>
                <w:sz w:val="22"/>
              </w:rPr>
              <w:t>.</w:t>
            </w:r>
          </w:p>
        </w:tc>
      </w:tr>
    </w:tbl>
    <w:p w14:paraId="75E7896B"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2ED5B9AE"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tc>
          <w:tcPr>
            <w:tcW w:w="9212" w:type="dxa"/>
          </w:tcPr>
          <w:p w14:paraId="256E27C8" w14:textId="66E9174B" w:rsidR="00D14350" w:rsidRPr="00422874" w:rsidRDefault="00876100" w:rsidP="00C112A6">
            <w:pPr>
              <w:rPr>
                <w:rFonts w:ascii="Arial Narrow" w:hAnsi="Arial Narrow"/>
                <w:sz w:val="22"/>
              </w:rPr>
            </w:pPr>
            <w:r w:rsidRPr="00876100">
              <w:rPr>
                <w:rFonts w:ascii="Arial Narrow" w:hAnsi="Arial Narrow"/>
                <w:bCs/>
                <w:sz w:val="22"/>
              </w:rPr>
              <w:t xml:space="preserve">Die Zulassung von </w:t>
            </w:r>
            <w:proofErr w:type="spellStart"/>
            <w:r w:rsidRPr="00876100">
              <w:rPr>
                <w:rFonts w:ascii="Arial Narrow" w:hAnsi="Arial Narrow"/>
                <w:bCs/>
                <w:sz w:val="22"/>
              </w:rPr>
              <w:t>Olaparib</w:t>
            </w:r>
            <w:proofErr w:type="spellEnd"/>
            <w:r w:rsidRPr="00876100">
              <w:rPr>
                <w:rFonts w:ascii="Arial Narrow" w:hAnsi="Arial Narrow"/>
                <w:bCs/>
                <w:sz w:val="22"/>
              </w:rPr>
              <w:t xml:space="preserve"> in Kombination mit Bevacizumab erfolgte im November 2020. Mit der Einführung von </w:t>
            </w:r>
            <w:proofErr w:type="spellStart"/>
            <w:r w:rsidRPr="00876100">
              <w:rPr>
                <w:rFonts w:ascii="Arial Narrow" w:hAnsi="Arial Narrow"/>
                <w:bCs/>
                <w:sz w:val="22"/>
              </w:rPr>
              <w:t>Olaparib</w:t>
            </w:r>
            <w:proofErr w:type="spellEnd"/>
            <w:r w:rsidRPr="00876100">
              <w:rPr>
                <w:rFonts w:ascii="Arial Narrow" w:hAnsi="Arial Narrow"/>
                <w:bCs/>
                <w:sz w:val="22"/>
              </w:rPr>
              <w:t xml:space="preserve"> in dem oben beschriebenen Anwendungsgebiet wurde auch die </w:t>
            </w:r>
            <w:proofErr w:type="gramStart"/>
            <w:r w:rsidRPr="00876100">
              <w:rPr>
                <w:rFonts w:ascii="Arial Narrow" w:hAnsi="Arial Narrow"/>
                <w:bCs/>
                <w:sz w:val="22"/>
              </w:rPr>
              <w:t>HRD Diagnostik</w:t>
            </w:r>
            <w:proofErr w:type="gramEnd"/>
            <w:r w:rsidRPr="00876100">
              <w:rPr>
                <w:rFonts w:ascii="Arial Narrow" w:hAnsi="Arial Narrow"/>
                <w:bCs/>
                <w:sz w:val="22"/>
              </w:rPr>
              <w:t xml:space="preserve"> des fortgeschrittenen Ovarialkarzinoms, Eileiterkarzinoms, oder primären </w:t>
            </w:r>
            <w:proofErr w:type="spellStart"/>
            <w:r w:rsidRPr="00876100">
              <w:rPr>
                <w:rFonts w:ascii="Arial Narrow" w:hAnsi="Arial Narrow"/>
                <w:bCs/>
                <w:sz w:val="22"/>
              </w:rPr>
              <w:t>Peritonealkarzinoms</w:t>
            </w:r>
            <w:proofErr w:type="spellEnd"/>
            <w:r w:rsidRPr="00876100">
              <w:rPr>
                <w:rFonts w:ascii="Arial Narrow" w:hAnsi="Arial Narrow"/>
                <w:bCs/>
                <w:sz w:val="22"/>
              </w:rPr>
              <w:t xml:space="preserve"> erstmalig eingeführt.</w:t>
            </w:r>
          </w:p>
        </w:tc>
      </w:tr>
    </w:tbl>
    <w:p w14:paraId="233BCD28"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tc>
          <w:tcPr>
            <w:tcW w:w="9212" w:type="dxa"/>
          </w:tcPr>
          <w:p w14:paraId="7BB60EDC" w14:textId="3A0BA8CE" w:rsidR="00044597" w:rsidRPr="00876100" w:rsidRDefault="002045C1" w:rsidP="00876100">
            <w:pPr>
              <w:rPr>
                <w:rFonts w:ascii="Arial Narrow" w:hAnsi="Arial Narrow"/>
                <w:color w:val="00B050"/>
                <w:sz w:val="22"/>
              </w:rPr>
            </w:pPr>
            <w:r>
              <w:rPr>
                <w:rFonts w:ascii="Arial Narrow" w:hAnsi="Arial Narrow"/>
                <w:color w:val="00B050"/>
                <w:sz w:val="22"/>
              </w:rPr>
              <w:t>-</w:t>
            </w:r>
          </w:p>
        </w:tc>
      </w:tr>
    </w:tbl>
    <w:p w14:paraId="479CCD3D"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21DD9094" w14:textId="28ABB98C" w:rsidR="00C112A6" w:rsidRPr="005638EB" w:rsidRDefault="006D77FC" w:rsidP="00C112A6">
            <w:pPr>
              <w:rPr>
                <w:rFonts w:ascii="Arial Narrow" w:hAnsi="Arial Narrow"/>
              </w:rPr>
            </w:pPr>
            <w:r w:rsidRPr="006D77FC">
              <w:rPr>
                <w:rFonts w:ascii="Arial Narrow" w:hAnsi="Arial Narrow"/>
                <w:bCs/>
                <w:sz w:val="22"/>
              </w:rPr>
              <w:t xml:space="preserve">HRD-Diagnostik beim Ovarialkarzinom, Eileiterkarzinom oder primären </w:t>
            </w:r>
            <w:proofErr w:type="spellStart"/>
            <w:r w:rsidRPr="006D77FC">
              <w:rPr>
                <w:rFonts w:ascii="Arial Narrow" w:hAnsi="Arial Narrow"/>
                <w:bCs/>
                <w:sz w:val="22"/>
              </w:rPr>
              <w:t>Peritonealkarzinom</w:t>
            </w:r>
            <w:proofErr w:type="spellEnd"/>
            <w:r w:rsidRPr="006D77FC">
              <w:rPr>
                <w:rFonts w:ascii="Arial Narrow" w:hAnsi="Arial Narrow"/>
                <w:bCs/>
                <w:sz w:val="22"/>
              </w:rPr>
              <w:t xml:space="preserve"> wird schätzungsweise in ca. </w:t>
            </w:r>
            <w:r>
              <w:rPr>
                <w:rFonts w:ascii="Arial Narrow" w:hAnsi="Arial Narrow"/>
                <w:bCs/>
                <w:sz w:val="22"/>
              </w:rPr>
              <w:t>245</w:t>
            </w:r>
            <w:r w:rsidRPr="006D77FC">
              <w:rPr>
                <w:rFonts w:ascii="Arial Narrow" w:hAnsi="Arial Narrow"/>
                <w:bCs/>
                <w:sz w:val="22"/>
              </w:rPr>
              <w:t xml:space="preserve"> Kliniken in Deutschland eingesetzt (Anzahl der NUB-Anfragen des Vorjahres).</w:t>
            </w:r>
          </w:p>
        </w:tc>
      </w:tr>
    </w:tbl>
    <w:p w14:paraId="43674FE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 xml:space="preserve">den in Ihrem Krankenhaus </w:t>
            </w:r>
            <w:proofErr w:type="gramStart"/>
            <w:r w:rsidR="000953D2">
              <w:rPr>
                <w:rFonts w:ascii="Arial Narrow" w:hAnsi="Arial Narrow"/>
                <w:b/>
                <w:sz w:val="22"/>
              </w:rPr>
              <w:t>in 202</w:t>
            </w:r>
            <w:r w:rsidR="00BC47BA">
              <w:rPr>
                <w:rFonts w:ascii="Arial Narrow" w:hAnsi="Arial Narrow"/>
                <w:b/>
                <w:sz w:val="22"/>
              </w:rPr>
              <w:t>5</w:t>
            </w:r>
            <w:proofErr w:type="gramEnd"/>
            <w:r w:rsidR="000953D2">
              <w:rPr>
                <w:rFonts w:ascii="Arial Narrow" w:hAnsi="Arial Narrow"/>
                <w:b/>
                <w:sz w:val="22"/>
              </w:rPr>
              <w:t xml:space="preserve"> oder </w:t>
            </w:r>
            <w:proofErr w:type="gramStart"/>
            <w:r w:rsidR="000953D2">
              <w:rPr>
                <w:rFonts w:ascii="Arial Narrow" w:hAnsi="Arial Narrow"/>
                <w:b/>
                <w:sz w:val="22"/>
              </w:rPr>
              <w:t>in 202</w:t>
            </w:r>
            <w:r w:rsidR="003E21E9">
              <w:rPr>
                <w:rFonts w:ascii="Arial Narrow" w:hAnsi="Arial Narrow"/>
                <w:b/>
                <w:sz w:val="22"/>
              </w:rPr>
              <w:t>6</w:t>
            </w:r>
            <w:proofErr w:type="gramEnd"/>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tc>
          <w:tcPr>
            <w:tcW w:w="9212" w:type="dxa"/>
          </w:tcPr>
          <w:p w14:paraId="079FA662" w14:textId="77777777" w:rsidR="00FC18A0" w:rsidRPr="00FC18A0" w:rsidRDefault="008C5047" w:rsidP="007A314E">
            <w:pPr>
              <w:rPr>
                <w:rFonts w:ascii="Arial Narrow" w:hAnsi="Arial Narrow"/>
                <w:sz w:val="22"/>
              </w:rPr>
            </w:pPr>
            <w:r w:rsidRPr="008C5047">
              <w:rPr>
                <w:rFonts w:ascii="Arial Narrow" w:hAnsi="Arial Narrow"/>
                <w:sz w:val="22"/>
              </w:rPr>
              <w:t>Die Kosten für die HRD-Diagnostik belaufen sich auf ca. 5.000</w:t>
            </w:r>
            <w:r w:rsidR="00FC18A0" w:rsidRPr="00FC18A0">
              <w:rPr>
                <w:rFonts w:ascii="Arial Narrow" w:hAnsi="Arial Narrow"/>
                <w:sz w:val="22"/>
              </w:rPr>
              <w:t xml:space="preserve"> €. Es handelt sich nahezu ausschließlich um Sachkosten der molekularpathologischen Analytik zzgl. des ärztlichen </w:t>
            </w:r>
            <w:proofErr w:type="spellStart"/>
            <w:r w:rsidR="00FC18A0" w:rsidRPr="00FC18A0">
              <w:rPr>
                <w:rFonts w:ascii="Arial Narrow" w:hAnsi="Arial Narrow"/>
                <w:sz w:val="22"/>
              </w:rPr>
              <w:t>Befundungsaufwands</w:t>
            </w:r>
            <w:proofErr w:type="spellEnd"/>
            <w:r w:rsidR="00FC18A0" w:rsidRPr="00FC18A0">
              <w:rPr>
                <w:rFonts w:ascii="Arial Narrow" w:hAnsi="Arial Narrow"/>
                <w:sz w:val="22"/>
              </w:rPr>
              <w:t>.</w:t>
            </w:r>
          </w:p>
          <w:p w14:paraId="1D15B0D9" w14:textId="77777777" w:rsidR="00FC18A0" w:rsidRPr="00FC18A0" w:rsidRDefault="00FC18A0" w:rsidP="007A314E">
            <w:pPr>
              <w:rPr>
                <w:rFonts w:ascii="Arial Narrow" w:hAnsi="Arial Narrow"/>
                <w:sz w:val="22"/>
              </w:rPr>
            </w:pPr>
            <w:r w:rsidRPr="00FC18A0">
              <w:rPr>
                <w:rFonts w:ascii="Arial Narrow" w:hAnsi="Arial Narrow"/>
                <w:sz w:val="22"/>
              </w:rPr>
              <w:t>Die Größenordnung lässt sich anhand der Bewertungen des EBM (Stand 3/2026), Abschnitt 19.4 „In-vitro-</w:t>
            </w:r>
            <w:proofErr w:type="spellStart"/>
            <w:r w:rsidRPr="00FC18A0">
              <w:rPr>
                <w:rFonts w:ascii="Arial Narrow" w:hAnsi="Arial Narrow"/>
                <w:sz w:val="22"/>
              </w:rPr>
              <w:t>Diagnostik</w:t>
            </w:r>
            <w:proofErr w:type="spellEnd"/>
            <w:r w:rsidRPr="00FC18A0">
              <w:rPr>
                <w:rFonts w:ascii="Arial Narrow" w:hAnsi="Arial Narrow"/>
                <w:sz w:val="22"/>
              </w:rPr>
              <w:t xml:space="preserve"> tumorgenetischer Veränderungen“, nachvollziehen:</w:t>
            </w:r>
          </w:p>
          <w:p w14:paraId="5976F440" w14:textId="77777777" w:rsidR="00FC18A0" w:rsidRPr="00FC18A0" w:rsidRDefault="00FC18A0" w:rsidP="007A314E">
            <w:pPr>
              <w:rPr>
                <w:rFonts w:ascii="Arial Narrow" w:hAnsi="Arial Narrow"/>
                <w:sz w:val="22"/>
              </w:rPr>
            </w:pPr>
            <w:r w:rsidRPr="00FC18A0">
              <w:rPr>
                <w:rFonts w:ascii="Arial Narrow" w:hAnsi="Arial Narrow"/>
                <w:sz w:val="22"/>
              </w:rPr>
              <w:t>GOP 19401 – Grundpauschale tumorgenetische In-vitro-</w:t>
            </w:r>
            <w:proofErr w:type="spellStart"/>
            <w:r w:rsidRPr="00FC18A0">
              <w:rPr>
                <w:rFonts w:ascii="Arial Narrow" w:hAnsi="Arial Narrow"/>
                <w:sz w:val="22"/>
              </w:rPr>
              <w:t>Diagnostik</w:t>
            </w:r>
            <w:proofErr w:type="spellEnd"/>
            <w:r w:rsidRPr="00FC18A0">
              <w:rPr>
                <w:rFonts w:ascii="Arial Narrow" w:hAnsi="Arial Narrow"/>
                <w:sz w:val="22"/>
              </w:rPr>
              <w:t xml:space="preserve"> (145 Punkte): 18,47 €</w:t>
            </w:r>
          </w:p>
          <w:p w14:paraId="64BD570F" w14:textId="77777777" w:rsidR="00FC18A0" w:rsidRPr="00FC18A0" w:rsidRDefault="00FC18A0" w:rsidP="007A314E">
            <w:pPr>
              <w:rPr>
                <w:rFonts w:ascii="Arial Narrow" w:hAnsi="Arial Narrow"/>
                <w:sz w:val="22"/>
              </w:rPr>
            </w:pPr>
            <w:r w:rsidRPr="00FC18A0">
              <w:rPr>
                <w:rFonts w:ascii="Arial Narrow" w:hAnsi="Arial Narrow"/>
                <w:sz w:val="22"/>
              </w:rPr>
              <w:t xml:space="preserve">GOP 19332 – Histologisch-topographie-spezifische Bestimmung, </w:t>
            </w:r>
            <w:proofErr w:type="spellStart"/>
            <w:r w:rsidRPr="00FC18A0">
              <w:rPr>
                <w:rFonts w:ascii="Arial Narrow" w:hAnsi="Arial Narrow"/>
                <w:sz w:val="22"/>
              </w:rPr>
              <w:t>Mikrodissektion</w:t>
            </w:r>
            <w:proofErr w:type="spellEnd"/>
            <w:r w:rsidRPr="00FC18A0">
              <w:rPr>
                <w:rFonts w:ascii="Arial Narrow" w:hAnsi="Arial Narrow"/>
                <w:sz w:val="22"/>
              </w:rPr>
              <w:t xml:space="preserve"> und </w:t>
            </w:r>
            <w:proofErr w:type="spellStart"/>
            <w:r w:rsidRPr="00FC18A0">
              <w:rPr>
                <w:rFonts w:ascii="Arial Narrow" w:hAnsi="Arial Narrow"/>
                <w:sz w:val="22"/>
              </w:rPr>
              <w:t>Konsensusdiagnose</w:t>
            </w:r>
            <w:proofErr w:type="spellEnd"/>
            <w:r w:rsidRPr="00FC18A0">
              <w:rPr>
                <w:rFonts w:ascii="Arial Narrow" w:hAnsi="Arial Narrow"/>
                <w:sz w:val="22"/>
              </w:rPr>
              <w:t xml:space="preserve"> (237 Punkte): 30,19 €</w:t>
            </w:r>
          </w:p>
          <w:p w14:paraId="6DB1A353" w14:textId="77777777" w:rsidR="00FC18A0" w:rsidRPr="00FC18A0" w:rsidRDefault="00FC18A0" w:rsidP="007A314E">
            <w:pPr>
              <w:rPr>
                <w:rFonts w:ascii="Arial Narrow" w:hAnsi="Arial Narrow"/>
                <w:sz w:val="22"/>
              </w:rPr>
            </w:pPr>
            <w:r w:rsidRPr="00FC18A0">
              <w:rPr>
                <w:rFonts w:ascii="Arial Narrow" w:hAnsi="Arial Narrow"/>
                <w:sz w:val="22"/>
              </w:rPr>
              <w:lastRenderedPageBreak/>
              <w:t>GOP 19456 – Nachweis oder Ausschluss von Mutationen in den Genen BRCA1 und BRCA2 im Tumormaterial zur Indikationsstellung einer gezielten medikamentösen Behandlung (18.543 Punkte), einmal im Krankheitsfall: 2.362,45 €</w:t>
            </w:r>
          </w:p>
          <w:p w14:paraId="48C33EC0" w14:textId="77777777" w:rsidR="00FC18A0" w:rsidRPr="00FC18A0" w:rsidRDefault="00FC18A0" w:rsidP="007A314E">
            <w:pPr>
              <w:rPr>
                <w:rFonts w:ascii="Arial Narrow" w:hAnsi="Arial Narrow"/>
                <w:sz w:val="22"/>
              </w:rPr>
            </w:pPr>
            <w:r w:rsidRPr="00FC18A0">
              <w:rPr>
                <w:rFonts w:ascii="Arial Narrow" w:hAnsi="Arial Narrow"/>
                <w:sz w:val="22"/>
              </w:rPr>
              <w:t xml:space="preserve">GOP 19453 – Mutationssuche mittels Hochdurchsatz-Sequenzierung, je vollendete 250 kodierende Basen (678 Punkte = 86,38 €; ab der 21. Leistung 339 Punkte = 43,19 €), für die Bestimmung der genomischen Instabilität (LOH, TAI, LST): bei rd. 10 </w:t>
            </w:r>
            <w:proofErr w:type="spellStart"/>
            <w:r w:rsidRPr="00FC18A0">
              <w:rPr>
                <w:rFonts w:ascii="Arial Narrow" w:hAnsi="Arial Narrow"/>
                <w:sz w:val="22"/>
              </w:rPr>
              <w:t>kb</w:t>
            </w:r>
            <w:proofErr w:type="spellEnd"/>
            <w:r w:rsidRPr="00FC18A0">
              <w:rPr>
                <w:rFonts w:ascii="Arial Narrow" w:hAnsi="Arial Narrow"/>
                <w:sz w:val="22"/>
              </w:rPr>
              <w:t xml:space="preserve"> analysierter kodierender Sequenz 2.591,40 €</w:t>
            </w:r>
          </w:p>
          <w:p w14:paraId="30966D36" w14:textId="77777777" w:rsidR="00FC18A0" w:rsidRPr="00FC18A0" w:rsidRDefault="00FC18A0" w:rsidP="007A314E">
            <w:pPr>
              <w:rPr>
                <w:rFonts w:ascii="Arial Narrow" w:hAnsi="Arial Narrow"/>
                <w:sz w:val="22"/>
              </w:rPr>
            </w:pPr>
            <w:r w:rsidRPr="00FC18A0">
              <w:rPr>
                <w:rFonts w:ascii="Arial Narrow" w:hAnsi="Arial Narrow"/>
                <w:sz w:val="22"/>
              </w:rPr>
              <w:t>Summe: rd. 5.002 €</w:t>
            </w:r>
          </w:p>
          <w:p w14:paraId="7D03D20B" w14:textId="1203BF7C" w:rsidR="00156FE0" w:rsidRPr="008C5047" w:rsidRDefault="00FC18A0" w:rsidP="007A314E">
            <w:pPr>
              <w:rPr>
                <w:rFonts w:ascii="Arial Narrow" w:hAnsi="Arial Narrow"/>
                <w:sz w:val="22"/>
              </w:rPr>
            </w:pPr>
            <w:r w:rsidRPr="00FC18A0">
              <w:rPr>
                <w:rFonts w:ascii="Arial Narrow" w:hAnsi="Arial Narrow"/>
                <w:sz w:val="22"/>
              </w:rPr>
              <w:t xml:space="preserve">Der BRCA-Anteil allein ist im EBM mit 2.362,45 € bewertet. Die für den GIS erforderliche genomweite Bestimmung der genomischen Instabilität ist im EBM bislang nicht mit einer eigenen Gebührenordnungsposition abgebildet und wird hier ersatzweise über die GOP 19453 abgebildet. Zum Vergleich: vergleichbar komplexe, validierte </w:t>
            </w:r>
            <w:proofErr w:type="spellStart"/>
            <w:r w:rsidRPr="00FC18A0">
              <w:rPr>
                <w:rFonts w:ascii="Arial Narrow" w:hAnsi="Arial Narrow"/>
                <w:sz w:val="22"/>
              </w:rPr>
              <w:t>biomarkerbasierte</w:t>
            </w:r>
            <w:proofErr w:type="spellEnd"/>
            <w:r w:rsidRPr="00FC18A0">
              <w:rPr>
                <w:rFonts w:ascii="Arial Narrow" w:hAnsi="Arial Narrow"/>
                <w:sz w:val="22"/>
              </w:rPr>
              <w:t xml:space="preserve"> Testverfahren sind im EBM mit 1.946,73 € bis 3.023,55 € bewertet (GOP 19503 bis 19506)</w:t>
            </w:r>
            <w:r w:rsidR="008C5047" w:rsidRPr="008C5047">
              <w:rPr>
                <w:rFonts w:ascii="Arial Narrow" w:hAnsi="Arial Narrow"/>
                <w:sz w:val="22"/>
              </w:rPr>
              <w:t>.</w:t>
            </w:r>
          </w:p>
        </w:tc>
      </w:tr>
    </w:tbl>
    <w:p w14:paraId="45E65153" w14:textId="77777777" w:rsidR="008E6675" w:rsidRPr="005638EB" w:rsidRDefault="008E6675" w:rsidP="005638EB">
      <w:pPr>
        <w:rPr>
          <w:rFonts w:ascii="Arial Narrow" w:hAnsi="Arial Narrow"/>
          <w:b/>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6D7FCE" w14:paraId="56F9F66E" w14:textId="77777777">
        <w:tc>
          <w:tcPr>
            <w:tcW w:w="9212" w:type="dxa"/>
          </w:tcPr>
          <w:p w14:paraId="722AF25A" w14:textId="77777777" w:rsidR="001B6B61" w:rsidRPr="0025222D" w:rsidRDefault="00421F8E" w:rsidP="005638EB">
            <w:pPr>
              <w:rPr>
                <w:rFonts w:ascii="Arial Narrow" w:hAnsi="Arial Narrow"/>
                <w:sz w:val="22"/>
                <w:lang w:val="en-US"/>
              </w:rPr>
            </w:pPr>
            <w:r w:rsidRPr="0025222D">
              <w:rPr>
                <w:rFonts w:ascii="Arial Narrow" w:hAnsi="Arial Narrow"/>
                <w:sz w:val="22"/>
                <w:lang w:val="en-US"/>
              </w:rPr>
              <w:t>N6</w:t>
            </w:r>
            <w:r w:rsidR="00BF468C" w:rsidRPr="0025222D">
              <w:rPr>
                <w:rFonts w:ascii="Arial Narrow" w:hAnsi="Arial Narrow"/>
                <w:sz w:val="22"/>
                <w:lang w:val="en-US"/>
              </w:rPr>
              <w:t>0B</w:t>
            </w:r>
          </w:p>
          <w:p w14:paraId="58384834" w14:textId="77777777" w:rsidR="00BF468C" w:rsidRPr="0025222D" w:rsidRDefault="00BF468C" w:rsidP="005638EB">
            <w:pPr>
              <w:rPr>
                <w:rFonts w:ascii="Arial Narrow" w:hAnsi="Arial Narrow"/>
                <w:sz w:val="22"/>
                <w:lang w:val="en-US"/>
              </w:rPr>
            </w:pPr>
            <w:r w:rsidRPr="0025222D">
              <w:rPr>
                <w:rFonts w:ascii="Arial Narrow" w:hAnsi="Arial Narrow"/>
                <w:sz w:val="22"/>
                <w:lang w:val="en-US"/>
              </w:rPr>
              <w:t>N20D</w:t>
            </w:r>
          </w:p>
          <w:p w14:paraId="30CCAAC0" w14:textId="77777777" w:rsidR="00BF468C" w:rsidRPr="0025222D" w:rsidRDefault="00BF468C" w:rsidP="005638EB">
            <w:pPr>
              <w:rPr>
                <w:rFonts w:ascii="Arial Narrow" w:hAnsi="Arial Narrow"/>
                <w:sz w:val="22"/>
                <w:lang w:val="en-US"/>
              </w:rPr>
            </w:pPr>
            <w:r w:rsidRPr="0025222D">
              <w:rPr>
                <w:rFonts w:ascii="Arial Narrow" w:hAnsi="Arial Narrow"/>
                <w:sz w:val="22"/>
                <w:lang w:val="en-US"/>
              </w:rPr>
              <w:t>N02C</w:t>
            </w:r>
          </w:p>
          <w:p w14:paraId="572E0970" w14:textId="77777777" w:rsidR="00BF468C" w:rsidRPr="0025222D" w:rsidRDefault="00BF468C" w:rsidP="005638EB">
            <w:pPr>
              <w:rPr>
                <w:rFonts w:ascii="Arial Narrow" w:hAnsi="Arial Narrow"/>
                <w:sz w:val="22"/>
                <w:lang w:val="en-US"/>
              </w:rPr>
            </w:pPr>
            <w:r w:rsidRPr="0025222D">
              <w:rPr>
                <w:rFonts w:ascii="Arial Narrow" w:hAnsi="Arial Narrow"/>
                <w:sz w:val="22"/>
                <w:lang w:val="en-US"/>
              </w:rPr>
              <w:t>N60A</w:t>
            </w:r>
          </w:p>
          <w:p w14:paraId="3FDE8751" w14:textId="4E356369" w:rsidR="00BF468C" w:rsidRPr="0025222D" w:rsidRDefault="00BF468C" w:rsidP="005638EB">
            <w:pPr>
              <w:rPr>
                <w:rFonts w:ascii="Arial Narrow" w:hAnsi="Arial Narrow"/>
                <w:sz w:val="22"/>
                <w:lang w:val="en-US"/>
              </w:rPr>
            </w:pPr>
            <w:r w:rsidRPr="0025222D">
              <w:rPr>
                <w:rFonts w:ascii="Arial Narrow" w:hAnsi="Arial Narrow"/>
                <w:sz w:val="22"/>
                <w:lang w:val="en-US"/>
              </w:rPr>
              <w:t>N01D</w:t>
            </w:r>
          </w:p>
        </w:tc>
      </w:tr>
    </w:tbl>
    <w:p w14:paraId="4E6FC927" w14:textId="77777777" w:rsidR="008E6675" w:rsidRPr="0025222D" w:rsidRDefault="008E6675" w:rsidP="005638EB">
      <w:pPr>
        <w:rPr>
          <w:rFonts w:ascii="Arial Narrow" w:hAnsi="Arial Narrow"/>
          <w:b/>
          <w:lang w:val="en-US"/>
        </w:rPr>
      </w:pPr>
    </w:p>
    <w:tbl>
      <w:tblPr>
        <w:tblStyle w:val="TableNormal10"/>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ED4386" w14:paraId="3100E4A7" w14:textId="77777777">
        <w:tc>
          <w:tcPr>
            <w:tcW w:w="9212" w:type="dxa"/>
          </w:tcPr>
          <w:p w14:paraId="495BCA64" w14:textId="1FD43FCE" w:rsidR="006677A8" w:rsidRPr="006677A8" w:rsidRDefault="006677A8" w:rsidP="006677A8">
            <w:pPr>
              <w:rPr>
                <w:rFonts w:ascii="Arial Narrow" w:hAnsi="Arial Narrow"/>
                <w:sz w:val="22"/>
              </w:rPr>
            </w:pPr>
            <w:r w:rsidRPr="006677A8">
              <w:rPr>
                <w:rFonts w:ascii="Arial Narrow" w:hAnsi="Arial Narrow"/>
                <w:sz w:val="22"/>
              </w:rPr>
              <w:t xml:space="preserve">Die Mehrkosten für die Diagnostik belaufen sich auf, ca. </w:t>
            </w:r>
            <w:r>
              <w:rPr>
                <w:rFonts w:ascii="Arial Narrow" w:hAnsi="Arial Narrow"/>
                <w:sz w:val="22"/>
              </w:rPr>
              <w:t>5.0</w:t>
            </w:r>
            <w:r w:rsidRPr="006677A8">
              <w:rPr>
                <w:rFonts w:ascii="Arial Narrow" w:hAnsi="Arial Narrow"/>
                <w:sz w:val="22"/>
              </w:rPr>
              <w:t xml:space="preserve">00 €. Diese sind in den Kalkulationsdaten des Jahres 2025 nicht abgebildet. Daher ist eine Berücksichtigung für den </w:t>
            </w:r>
            <w:proofErr w:type="spellStart"/>
            <w:r w:rsidRPr="006677A8">
              <w:rPr>
                <w:rFonts w:ascii="Arial Narrow" w:hAnsi="Arial Narrow"/>
                <w:sz w:val="22"/>
              </w:rPr>
              <w:t>Fallpauschalenkatalog</w:t>
            </w:r>
            <w:proofErr w:type="spellEnd"/>
            <w:r w:rsidRPr="006677A8">
              <w:rPr>
                <w:rFonts w:ascii="Arial Narrow" w:hAnsi="Arial Narrow"/>
                <w:sz w:val="22"/>
              </w:rPr>
              <w:t xml:space="preserve"> 2027 nicht möglich. </w:t>
            </w:r>
          </w:p>
          <w:p w14:paraId="61704C19" w14:textId="4EAB628C" w:rsidR="006677A8" w:rsidRPr="006677A8" w:rsidRDefault="006677A8" w:rsidP="006677A8">
            <w:pPr>
              <w:rPr>
                <w:rFonts w:ascii="Arial Narrow" w:hAnsi="Arial Narrow"/>
                <w:sz w:val="22"/>
              </w:rPr>
            </w:pPr>
            <w:r w:rsidRPr="006677A8">
              <w:rPr>
                <w:rFonts w:ascii="Arial Narrow" w:hAnsi="Arial Narrow"/>
                <w:sz w:val="22"/>
              </w:rPr>
              <w:t>Zusätzlich wird durch die Kostenkalkulation nur ein Bruchteil der Kosten, die denjenigen Kliniken entstehen, die diese Diagnostik leitlinienkonform anwenden, auf die DRG-Erlöse umgelegt. Dadurch besteht ein Fehlanreiz, diese Diagnostik bei stationären Fällen nicht durchzuführen. </w:t>
            </w:r>
          </w:p>
          <w:p w14:paraId="222643B9" w14:textId="6492256D" w:rsidR="00CF6347" w:rsidRPr="00ED4386" w:rsidRDefault="006677A8" w:rsidP="00666227">
            <w:pPr>
              <w:rPr>
                <w:rFonts w:ascii="Arial Narrow" w:hAnsi="Arial Narrow"/>
                <w:sz w:val="22"/>
              </w:rPr>
            </w:pPr>
            <w:r w:rsidRPr="006677A8">
              <w:rPr>
                <w:rFonts w:ascii="Arial Narrow" w:hAnsi="Arial Narrow"/>
                <w:sz w:val="22"/>
              </w:rPr>
              <w:t>Ohne adäquate Vergütung der Kosten der Diagnostik ist eine verminderte Behandlungsqualität der Patient</w:t>
            </w:r>
            <w:r w:rsidR="00755673">
              <w:rPr>
                <w:rFonts w:ascii="Arial Narrow" w:hAnsi="Arial Narrow"/>
                <w:sz w:val="22"/>
              </w:rPr>
              <w:t>inn</w:t>
            </w:r>
            <w:r w:rsidRPr="006677A8">
              <w:rPr>
                <w:rFonts w:ascii="Arial Narrow" w:hAnsi="Arial Narrow"/>
                <w:sz w:val="22"/>
              </w:rPr>
              <w:t xml:space="preserve">en mit </w:t>
            </w:r>
            <w:r w:rsidR="006972CD">
              <w:rPr>
                <w:rFonts w:ascii="Arial Narrow" w:hAnsi="Arial Narrow"/>
                <w:sz w:val="22"/>
              </w:rPr>
              <w:t xml:space="preserve">Ovarialkarzinomen, Eileiterkarzinomen oder primären </w:t>
            </w:r>
            <w:proofErr w:type="spellStart"/>
            <w:r w:rsidR="006972CD">
              <w:rPr>
                <w:rFonts w:ascii="Arial Narrow" w:hAnsi="Arial Narrow"/>
                <w:sz w:val="22"/>
              </w:rPr>
              <w:t>Peritonealkarzinom</w:t>
            </w:r>
            <w:proofErr w:type="spellEnd"/>
            <w:r w:rsidRPr="006677A8">
              <w:rPr>
                <w:rFonts w:ascii="Arial Narrow" w:hAnsi="Arial Narrow"/>
                <w:sz w:val="22"/>
              </w:rPr>
              <w:t xml:space="preserve"> in Deutschland zu befürchten, da aus wirtschaftlichen Gründen die Diagnostik u.U. daher nicht während des stationären Aufenthalts, der zur initialen Diagnose führt, gemacht wird. </w:t>
            </w:r>
          </w:p>
        </w:tc>
      </w:tr>
    </w:tbl>
    <w:p w14:paraId="0A50A959" w14:textId="77777777" w:rsidR="008E6675" w:rsidRPr="005638EB" w:rsidRDefault="008E6675" w:rsidP="00BF468C">
      <w:pPr>
        <w:rPr>
          <w:rFonts w:ascii="Arial Narrow" w:hAnsi="Arial Narrow"/>
        </w:rPr>
      </w:pPr>
    </w:p>
    <w:sectPr w:rsidR="008E6675" w:rsidRPr="005638EB" w:rsidSect="004E1D0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34B64" w14:textId="77777777" w:rsidR="004B378C" w:rsidRDefault="004B378C">
      <w:r>
        <w:separator/>
      </w:r>
    </w:p>
  </w:endnote>
  <w:endnote w:type="continuationSeparator" w:id="0">
    <w:p w14:paraId="2C11FC09" w14:textId="77777777" w:rsidR="004B378C" w:rsidRDefault="004B378C">
      <w:r>
        <w:continuationSeparator/>
      </w:r>
    </w:p>
  </w:endnote>
  <w:endnote w:type="continuationNotice" w:id="1">
    <w:p w14:paraId="6BDD360C" w14:textId="77777777" w:rsidR="004B378C" w:rsidRDefault="004B37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1C33" w14:textId="77777777" w:rsidR="005D303B" w:rsidRDefault="005D30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7868" w14:textId="6C8A04B3" w:rsidR="00F05698" w:rsidRDefault="00F64982" w:rsidP="00435583">
    <w:pPr>
      <w:pStyle w:val="Fuzeile"/>
      <w:rPr>
        <w:rFonts w:ascii="Arial Narrow" w:hAnsi="Arial Narrow"/>
        <w:sz w:val="20"/>
        <w:szCs w:val="20"/>
      </w:rPr>
    </w:pPr>
    <w:r w:rsidRPr="00435583">
      <w:rPr>
        <w:rFonts w:ascii="Arial Narrow" w:hAnsi="Arial Narrow"/>
        <w:sz w:val="20"/>
        <w:szCs w:val="20"/>
      </w:rPr>
      <w:t xml:space="preserve">NUB-Musteranfrage </w:t>
    </w:r>
    <w:r w:rsidR="00F05698">
      <w:rPr>
        <w:rFonts w:ascii="Arial Narrow" w:hAnsi="Arial Narrow"/>
        <w:sz w:val="20"/>
        <w:szCs w:val="20"/>
      </w:rPr>
      <w:t>HRD-Diagnostik</w:t>
    </w:r>
  </w:p>
  <w:p w14:paraId="70715AE1" w14:textId="53739BCA" w:rsidR="006D7FCE" w:rsidRDefault="006D7FCE" w:rsidP="00435583">
    <w:pPr>
      <w:pStyle w:val="Fuzeile"/>
      <w:rPr>
        <w:rFonts w:ascii="Arial Narrow" w:hAnsi="Arial Narrow"/>
        <w:sz w:val="20"/>
        <w:szCs w:val="20"/>
      </w:rPr>
    </w:pPr>
    <w:r>
      <w:rPr>
        <w:rFonts w:ascii="Arial Narrow" w:hAnsi="Arial Narrow"/>
        <w:sz w:val="20"/>
        <w:szCs w:val="20"/>
      </w:rPr>
      <w:t xml:space="preserve">AstraZeneca Freigabenummer: </w:t>
    </w:r>
    <w:r>
      <w:rPr>
        <w:rFonts w:ascii="Arial Narrow" w:hAnsi="Arial Narrow"/>
        <w:sz w:val="20"/>
        <w:szCs w:val="20"/>
      </w:rPr>
      <w:t>DE-98687/26</w:t>
    </w:r>
  </w:p>
  <w:p w14:paraId="463B5D71" w14:textId="53A4B2EF" w:rsidR="00F64982" w:rsidRPr="005F5DF9" w:rsidRDefault="005F5DF9" w:rsidP="00435583">
    <w:pPr>
      <w:pStyle w:val="Fuzeile"/>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6E7C81DA" w14:textId="152C7EB6" w:rsidR="00F64982" w:rsidRPr="00435583" w:rsidRDefault="005D303B" w:rsidP="00435583">
    <w:pPr>
      <w:rPr>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0B96" w14:textId="77777777" w:rsidR="005D303B" w:rsidRDefault="005D30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44A60" w14:textId="77777777" w:rsidR="004B378C" w:rsidRDefault="004B378C">
      <w:r>
        <w:separator/>
      </w:r>
    </w:p>
  </w:footnote>
  <w:footnote w:type="continuationSeparator" w:id="0">
    <w:p w14:paraId="0F08C6DF" w14:textId="77777777" w:rsidR="004B378C" w:rsidRDefault="004B378C">
      <w:r>
        <w:continuationSeparator/>
      </w:r>
    </w:p>
  </w:footnote>
  <w:footnote w:type="continuationNotice" w:id="1">
    <w:p w14:paraId="56CD38EA" w14:textId="77777777" w:rsidR="004B378C" w:rsidRDefault="004B37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7690B" w14:textId="77777777" w:rsidR="005D303B" w:rsidRDefault="005D30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58799" w14:textId="47B15C65" w:rsidR="00F64982" w:rsidRPr="004C4F82" w:rsidRDefault="00F64982" w:rsidP="00596F9A">
    <w:pPr>
      <w:pStyle w:val="Titel"/>
      <w:rPr>
        <w:sz w:val="48"/>
      </w:rPr>
    </w:pPr>
    <w:proofErr w:type="gramStart"/>
    <w:r w:rsidRPr="004C4F82">
      <w:rPr>
        <w:sz w:val="48"/>
      </w:rPr>
      <w:t>NUB Antrag</w:t>
    </w:r>
    <w:proofErr w:type="gramEnd"/>
    <w:r w:rsidRPr="004C4F82">
      <w:rPr>
        <w:sz w:val="48"/>
      </w:rPr>
      <w:t xml:space="preserve"> 20</w:t>
    </w:r>
    <w:r>
      <w:rPr>
        <w:sz w:val="48"/>
      </w:rPr>
      <w:t>2</w:t>
    </w:r>
    <w:r w:rsidR="003E4D33">
      <w:rPr>
        <w:sz w:val="48"/>
      </w:rPr>
      <w:t>6</w:t>
    </w:r>
    <w:r w:rsidRPr="004C4F82">
      <w:rPr>
        <w:sz w:val="48"/>
      </w:rPr>
      <w:t>/20</w:t>
    </w:r>
    <w:r>
      <w:rPr>
        <w:sz w:val="48"/>
      </w:rPr>
      <w:t>2</w:t>
    </w:r>
    <w:r w:rsidR="003E4D33">
      <w:rPr>
        <w:sz w:val="48"/>
      </w:rPr>
      <w:t>7</w:t>
    </w:r>
  </w:p>
  <w:p w14:paraId="2D6FE634" w14:textId="2A44CC19" w:rsidR="00F64982" w:rsidRPr="004C4F82" w:rsidRDefault="00A42DA0" w:rsidP="00596F9A">
    <w:pPr>
      <w:pStyle w:val="Titel"/>
      <w:rPr>
        <w:sz w:val="48"/>
      </w:rPr>
    </w:pPr>
    <w:r>
      <w:rPr>
        <w:sz w:val="48"/>
      </w:rPr>
      <w:t>HRD-Diagnostik</w:t>
    </w:r>
    <w:r w:rsidR="00540E0F">
      <w:rPr>
        <w:sz w:val="48"/>
      </w:rPr>
      <w:t xml:space="preserve"> bei Ovarialkarzinom, Eileiterkarzinom, primären </w:t>
    </w:r>
    <w:proofErr w:type="spellStart"/>
    <w:r w:rsidR="00540E0F">
      <w:rPr>
        <w:sz w:val="48"/>
      </w:rPr>
      <w:t>Peritonealkarzinom</w:t>
    </w:r>
    <w:proofErr w:type="spellEnd"/>
  </w:p>
  <w:p w14:paraId="38DF28C4" w14:textId="77777777" w:rsidR="00F64982" w:rsidRDefault="00F649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0C47" w14:textId="77777777" w:rsidR="005D303B" w:rsidRDefault="005D30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4B5B2334"/>
    <w:multiLevelType w:val="hybridMultilevel"/>
    <w:tmpl w:val="F636070C"/>
    <w:lvl w:ilvl="0" w:tplc="80FA8C2C">
      <w:start w:val="1"/>
      <w:numFmt w:val="bullet"/>
      <w:lvlText w:val="-"/>
      <w:lvlJc w:val="left"/>
      <w:pPr>
        <w:ind w:left="720" w:hanging="360"/>
      </w:pPr>
      <w:rPr>
        <w:rFonts w:ascii="Arial Narrow" w:eastAsia="Times New Roman" w:hAnsi="Arial Narrow"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1"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8"/>
  </w:num>
  <w:num w:numId="2" w16cid:durableId="1563248054">
    <w:abstractNumId w:val="11"/>
  </w:num>
  <w:num w:numId="3" w16cid:durableId="1578513243">
    <w:abstractNumId w:val="0"/>
  </w:num>
  <w:num w:numId="4" w16cid:durableId="1591771032">
    <w:abstractNumId w:val="12"/>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10"/>
  </w:num>
  <w:num w:numId="10" w16cid:durableId="37702949">
    <w:abstractNumId w:val="7"/>
  </w:num>
  <w:num w:numId="11" w16cid:durableId="646129392">
    <w:abstractNumId w:val="1"/>
  </w:num>
  <w:num w:numId="12" w16cid:durableId="705182894">
    <w:abstractNumId w:val="4"/>
  </w:num>
  <w:num w:numId="13" w16cid:durableId="596404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1130"/>
    <w:rsid w:val="00015BCA"/>
    <w:rsid w:val="0002135C"/>
    <w:rsid w:val="00024651"/>
    <w:rsid w:val="000326B8"/>
    <w:rsid w:val="0004094A"/>
    <w:rsid w:val="00044597"/>
    <w:rsid w:val="000551BC"/>
    <w:rsid w:val="000605E2"/>
    <w:rsid w:val="00065A38"/>
    <w:rsid w:val="000664A4"/>
    <w:rsid w:val="00072A33"/>
    <w:rsid w:val="00090261"/>
    <w:rsid w:val="00090A71"/>
    <w:rsid w:val="000953D2"/>
    <w:rsid w:val="000B5149"/>
    <w:rsid w:val="000C13A6"/>
    <w:rsid w:val="000C704A"/>
    <w:rsid w:val="000D2FE4"/>
    <w:rsid w:val="000D57F1"/>
    <w:rsid w:val="000D615D"/>
    <w:rsid w:val="000F7542"/>
    <w:rsid w:val="00104C97"/>
    <w:rsid w:val="001073E2"/>
    <w:rsid w:val="001102B1"/>
    <w:rsid w:val="00112EA1"/>
    <w:rsid w:val="001419B0"/>
    <w:rsid w:val="00145BF9"/>
    <w:rsid w:val="001469F2"/>
    <w:rsid w:val="00156FE0"/>
    <w:rsid w:val="00173016"/>
    <w:rsid w:val="001745F3"/>
    <w:rsid w:val="00174C6A"/>
    <w:rsid w:val="001774E7"/>
    <w:rsid w:val="00177EA2"/>
    <w:rsid w:val="001809A6"/>
    <w:rsid w:val="00180D6A"/>
    <w:rsid w:val="001812EC"/>
    <w:rsid w:val="001A7957"/>
    <w:rsid w:val="001A7AC7"/>
    <w:rsid w:val="001B3DF4"/>
    <w:rsid w:val="001B6B61"/>
    <w:rsid w:val="001C3769"/>
    <w:rsid w:val="001C390E"/>
    <w:rsid w:val="001C4427"/>
    <w:rsid w:val="001C6D91"/>
    <w:rsid w:val="001F39F1"/>
    <w:rsid w:val="001F4753"/>
    <w:rsid w:val="001F6EF3"/>
    <w:rsid w:val="002005AF"/>
    <w:rsid w:val="002045C1"/>
    <w:rsid w:val="0021007F"/>
    <w:rsid w:val="0023001E"/>
    <w:rsid w:val="00232EC0"/>
    <w:rsid w:val="002333FF"/>
    <w:rsid w:val="00234FB1"/>
    <w:rsid w:val="0025222D"/>
    <w:rsid w:val="00256A7C"/>
    <w:rsid w:val="00256B7C"/>
    <w:rsid w:val="002575F1"/>
    <w:rsid w:val="00277178"/>
    <w:rsid w:val="0028432D"/>
    <w:rsid w:val="00285AE4"/>
    <w:rsid w:val="00296749"/>
    <w:rsid w:val="002B5188"/>
    <w:rsid w:val="002B7A00"/>
    <w:rsid w:val="002D588A"/>
    <w:rsid w:val="002D7403"/>
    <w:rsid w:val="002E0510"/>
    <w:rsid w:val="002E1CBA"/>
    <w:rsid w:val="002E44BC"/>
    <w:rsid w:val="002E5E26"/>
    <w:rsid w:val="002E7D8E"/>
    <w:rsid w:val="00302F3C"/>
    <w:rsid w:val="00305016"/>
    <w:rsid w:val="003164B3"/>
    <w:rsid w:val="003200CC"/>
    <w:rsid w:val="0032263F"/>
    <w:rsid w:val="00332704"/>
    <w:rsid w:val="00346B5B"/>
    <w:rsid w:val="003479E5"/>
    <w:rsid w:val="00351656"/>
    <w:rsid w:val="0036178C"/>
    <w:rsid w:val="0036325A"/>
    <w:rsid w:val="00372C83"/>
    <w:rsid w:val="00384D20"/>
    <w:rsid w:val="00386323"/>
    <w:rsid w:val="00394E09"/>
    <w:rsid w:val="003B2E05"/>
    <w:rsid w:val="003B5BB5"/>
    <w:rsid w:val="003C0C9D"/>
    <w:rsid w:val="003C2216"/>
    <w:rsid w:val="003E21E9"/>
    <w:rsid w:val="003E4D33"/>
    <w:rsid w:val="003F2692"/>
    <w:rsid w:val="003F677D"/>
    <w:rsid w:val="0040610F"/>
    <w:rsid w:val="0041156E"/>
    <w:rsid w:val="0041411B"/>
    <w:rsid w:val="00421F8E"/>
    <w:rsid w:val="004226DE"/>
    <w:rsid w:val="00422874"/>
    <w:rsid w:val="00435583"/>
    <w:rsid w:val="0044343E"/>
    <w:rsid w:val="004436A6"/>
    <w:rsid w:val="00444461"/>
    <w:rsid w:val="00454847"/>
    <w:rsid w:val="004642E2"/>
    <w:rsid w:val="00467246"/>
    <w:rsid w:val="004736E4"/>
    <w:rsid w:val="00492AB4"/>
    <w:rsid w:val="00494C0F"/>
    <w:rsid w:val="004B3438"/>
    <w:rsid w:val="004B378C"/>
    <w:rsid w:val="004B624B"/>
    <w:rsid w:val="004B6C59"/>
    <w:rsid w:val="004C4F82"/>
    <w:rsid w:val="004D36D3"/>
    <w:rsid w:val="004E1D02"/>
    <w:rsid w:val="004E285F"/>
    <w:rsid w:val="004F0CBE"/>
    <w:rsid w:val="005048CB"/>
    <w:rsid w:val="00504FB4"/>
    <w:rsid w:val="0050526A"/>
    <w:rsid w:val="005125E9"/>
    <w:rsid w:val="00522E37"/>
    <w:rsid w:val="00540E0F"/>
    <w:rsid w:val="00541B64"/>
    <w:rsid w:val="00545B7A"/>
    <w:rsid w:val="005524BC"/>
    <w:rsid w:val="005530A6"/>
    <w:rsid w:val="00557E8F"/>
    <w:rsid w:val="005638EB"/>
    <w:rsid w:val="0057168E"/>
    <w:rsid w:val="00573643"/>
    <w:rsid w:val="0057537C"/>
    <w:rsid w:val="0058054E"/>
    <w:rsid w:val="005850DB"/>
    <w:rsid w:val="00585E36"/>
    <w:rsid w:val="00596F9A"/>
    <w:rsid w:val="005A09A7"/>
    <w:rsid w:val="005D1992"/>
    <w:rsid w:val="005D303B"/>
    <w:rsid w:val="005D436C"/>
    <w:rsid w:val="005E21D5"/>
    <w:rsid w:val="005F29C6"/>
    <w:rsid w:val="005F4D2E"/>
    <w:rsid w:val="005F5DF9"/>
    <w:rsid w:val="00604CF2"/>
    <w:rsid w:val="006051BD"/>
    <w:rsid w:val="00612463"/>
    <w:rsid w:val="00615E97"/>
    <w:rsid w:val="0062057F"/>
    <w:rsid w:val="00620855"/>
    <w:rsid w:val="00620E2E"/>
    <w:rsid w:val="006221A1"/>
    <w:rsid w:val="00625738"/>
    <w:rsid w:val="00625DA5"/>
    <w:rsid w:val="00630C54"/>
    <w:rsid w:val="00631139"/>
    <w:rsid w:val="00634F96"/>
    <w:rsid w:val="006354B6"/>
    <w:rsid w:val="00643373"/>
    <w:rsid w:val="0064492D"/>
    <w:rsid w:val="006451B6"/>
    <w:rsid w:val="006549F4"/>
    <w:rsid w:val="00664E69"/>
    <w:rsid w:val="00666227"/>
    <w:rsid w:val="006677A8"/>
    <w:rsid w:val="00673D3C"/>
    <w:rsid w:val="00681EC4"/>
    <w:rsid w:val="006856B4"/>
    <w:rsid w:val="006972CD"/>
    <w:rsid w:val="006B5DD1"/>
    <w:rsid w:val="006C3CC8"/>
    <w:rsid w:val="006C656D"/>
    <w:rsid w:val="006D4982"/>
    <w:rsid w:val="006D77FC"/>
    <w:rsid w:val="006D7FCE"/>
    <w:rsid w:val="006F7F69"/>
    <w:rsid w:val="00707216"/>
    <w:rsid w:val="00715084"/>
    <w:rsid w:val="00723ED7"/>
    <w:rsid w:val="007267B6"/>
    <w:rsid w:val="007310DD"/>
    <w:rsid w:val="0073561A"/>
    <w:rsid w:val="00751154"/>
    <w:rsid w:val="00755673"/>
    <w:rsid w:val="007600D1"/>
    <w:rsid w:val="007646CA"/>
    <w:rsid w:val="00775F2C"/>
    <w:rsid w:val="0078272D"/>
    <w:rsid w:val="007A314E"/>
    <w:rsid w:val="007A6F09"/>
    <w:rsid w:val="007B1702"/>
    <w:rsid w:val="007D09F2"/>
    <w:rsid w:val="007F0381"/>
    <w:rsid w:val="007F255B"/>
    <w:rsid w:val="00802EF7"/>
    <w:rsid w:val="0080511D"/>
    <w:rsid w:val="00806471"/>
    <w:rsid w:val="00806E4E"/>
    <w:rsid w:val="00807564"/>
    <w:rsid w:val="00816924"/>
    <w:rsid w:val="00843354"/>
    <w:rsid w:val="00843507"/>
    <w:rsid w:val="00850D44"/>
    <w:rsid w:val="00853337"/>
    <w:rsid w:val="00863C40"/>
    <w:rsid w:val="00867FC4"/>
    <w:rsid w:val="00876100"/>
    <w:rsid w:val="00876F6C"/>
    <w:rsid w:val="00890BC2"/>
    <w:rsid w:val="008B11B9"/>
    <w:rsid w:val="008B38C2"/>
    <w:rsid w:val="008B4504"/>
    <w:rsid w:val="008B7669"/>
    <w:rsid w:val="008C1686"/>
    <w:rsid w:val="008C248A"/>
    <w:rsid w:val="008C5047"/>
    <w:rsid w:val="008C79FC"/>
    <w:rsid w:val="008D12DD"/>
    <w:rsid w:val="008E038B"/>
    <w:rsid w:val="008E6675"/>
    <w:rsid w:val="008F5140"/>
    <w:rsid w:val="00900E00"/>
    <w:rsid w:val="0090403B"/>
    <w:rsid w:val="00913E26"/>
    <w:rsid w:val="00917B26"/>
    <w:rsid w:val="00921283"/>
    <w:rsid w:val="00925542"/>
    <w:rsid w:val="0093362E"/>
    <w:rsid w:val="00945896"/>
    <w:rsid w:val="009511D7"/>
    <w:rsid w:val="009545AF"/>
    <w:rsid w:val="00962BD9"/>
    <w:rsid w:val="00970724"/>
    <w:rsid w:val="00976C50"/>
    <w:rsid w:val="00983554"/>
    <w:rsid w:val="009A05BA"/>
    <w:rsid w:val="009A4D71"/>
    <w:rsid w:val="009B1C7E"/>
    <w:rsid w:val="009B6935"/>
    <w:rsid w:val="009C0B84"/>
    <w:rsid w:val="009C144E"/>
    <w:rsid w:val="009C2820"/>
    <w:rsid w:val="009D2013"/>
    <w:rsid w:val="009D2BAB"/>
    <w:rsid w:val="009E60A3"/>
    <w:rsid w:val="009F1B70"/>
    <w:rsid w:val="009F563A"/>
    <w:rsid w:val="009F5818"/>
    <w:rsid w:val="00A00CCB"/>
    <w:rsid w:val="00A100DC"/>
    <w:rsid w:val="00A135A8"/>
    <w:rsid w:val="00A2016B"/>
    <w:rsid w:val="00A21E9E"/>
    <w:rsid w:val="00A274EA"/>
    <w:rsid w:val="00A345A9"/>
    <w:rsid w:val="00A42DA0"/>
    <w:rsid w:val="00A43812"/>
    <w:rsid w:val="00A46637"/>
    <w:rsid w:val="00A47615"/>
    <w:rsid w:val="00A530BE"/>
    <w:rsid w:val="00A531B7"/>
    <w:rsid w:val="00A905AC"/>
    <w:rsid w:val="00A917D4"/>
    <w:rsid w:val="00A93AAD"/>
    <w:rsid w:val="00AA41F0"/>
    <w:rsid w:val="00AA6B4F"/>
    <w:rsid w:val="00AB10BF"/>
    <w:rsid w:val="00AE4AA9"/>
    <w:rsid w:val="00AE4C49"/>
    <w:rsid w:val="00AE7314"/>
    <w:rsid w:val="00B03A61"/>
    <w:rsid w:val="00B20DFB"/>
    <w:rsid w:val="00B22E8A"/>
    <w:rsid w:val="00B27D17"/>
    <w:rsid w:val="00B3601A"/>
    <w:rsid w:val="00B44898"/>
    <w:rsid w:val="00B5130D"/>
    <w:rsid w:val="00B521CC"/>
    <w:rsid w:val="00B52FBB"/>
    <w:rsid w:val="00B574E9"/>
    <w:rsid w:val="00B64968"/>
    <w:rsid w:val="00B6570D"/>
    <w:rsid w:val="00B773B8"/>
    <w:rsid w:val="00BA58AE"/>
    <w:rsid w:val="00BA6044"/>
    <w:rsid w:val="00BA613D"/>
    <w:rsid w:val="00BB4A54"/>
    <w:rsid w:val="00BB6117"/>
    <w:rsid w:val="00BC3D19"/>
    <w:rsid w:val="00BC4042"/>
    <w:rsid w:val="00BC47BA"/>
    <w:rsid w:val="00BE3979"/>
    <w:rsid w:val="00BF11AE"/>
    <w:rsid w:val="00BF25CC"/>
    <w:rsid w:val="00BF468C"/>
    <w:rsid w:val="00C04C1E"/>
    <w:rsid w:val="00C112A6"/>
    <w:rsid w:val="00C11458"/>
    <w:rsid w:val="00C21654"/>
    <w:rsid w:val="00C268F0"/>
    <w:rsid w:val="00C27800"/>
    <w:rsid w:val="00C35BFE"/>
    <w:rsid w:val="00C431A0"/>
    <w:rsid w:val="00C623FB"/>
    <w:rsid w:val="00C635B1"/>
    <w:rsid w:val="00C676EE"/>
    <w:rsid w:val="00C747EC"/>
    <w:rsid w:val="00C8772B"/>
    <w:rsid w:val="00C92FF9"/>
    <w:rsid w:val="00C95E1B"/>
    <w:rsid w:val="00CB0C43"/>
    <w:rsid w:val="00CB3CA3"/>
    <w:rsid w:val="00CB7E53"/>
    <w:rsid w:val="00CC64D1"/>
    <w:rsid w:val="00CC7E5F"/>
    <w:rsid w:val="00CD2365"/>
    <w:rsid w:val="00CD53A9"/>
    <w:rsid w:val="00CE591C"/>
    <w:rsid w:val="00CE69F3"/>
    <w:rsid w:val="00CF56C3"/>
    <w:rsid w:val="00CF5ECC"/>
    <w:rsid w:val="00CF6347"/>
    <w:rsid w:val="00D0187A"/>
    <w:rsid w:val="00D055B3"/>
    <w:rsid w:val="00D14350"/>
    <w:rsid w:val="00D216BD"/>
    <w:rsid w:val="00D21A79"/>
    <w:rsid w:val="00D31921"/>
    <w:rsid w:val="00D35BB2"/>
    <w:rsid w:val="00D36720"/>
    <w:rsid w:val="00D41422"/>
    <w:rsid w:val="00D50139"/>
    <w:rsid w:val="00D52005"/>
    <w:rsid w:val="00D5587C"/>
    <w:rsid w:val="00D62489"/>
    <w:rsid w:val="00D66B25"/>
    <w:rsid w:val="00D75994"/>
    <w:rsid w:val="00D87B96"/>
    <w:rsid w:val="00D9586E"/>
    <w:rsid w:val="00DB14F4"/>
    <w:rsid w:val="00DB4789"/>
    <w:rsid w:val="00DC6CBD"/>
    <w:rsid w:val="00DD0E55"/>
    <w:rsid w:val="00DD5FBB"/>
    <w:rsid w:val="00DE0095"/>
    <w:rsid w:val="00DE0DAA"/>
    <w:rsid w:val="00DE5197"/>
    <w:rsid w:val="00DF01F8"/>
    <w:rsid w:val="00DF0E4D"/>
    <w:rsid w:val="00E17261"/>
    <w:rsid w:val="00E24E3B"/>
    <w:rsid w:val="00E475CD"/>
    <w:rsid w:val="00E53F75"/>
    <w:rsid w:val="00E62C18"/>
    <w:rsid w:val="00E71974"/>
    <w:rsid w:val="00E86725"/>
    <w:rsid w:val="00E87501"/>
    <w:rsid w:val="00E918F7"/>
    <w:rsid w:val="00E9243F"/>
    <w:rsid w:val="00E92C57"/>
    <w:rsid w:val="00EB0343"/>
    <w:rsid w:val="00EC0987"/>
    <w:rsid w:val="00ED4386"/>
    <w:rsid w:val="00ED70F9"/>
    <w:rsid w:val="00ED79AA"/>
    <w:rsid w:val="00EE0D0B"/>
    <w:rsid w:val="00EE1581"/>
    <w:rsid w:val="00EE5875"/>
    <w:rsid w:val="00EF0413"/>
    <w:rsid w:val="00F000AA"/>
    <w:rsid w:val="00F05698"/>
    <w:rsid w:val="00F1327C"/>
    <w:rsid w:val="00F21781"/>
    <w:rsid w:val="00F233AA"/>
    <w:rsid w:val="00F24DB1"/>
    <w:rsid w:val="00F31C3B"/>
    <w:rsid w:val="00F37C16"/>
    <w:rsid w:val="00F41BF5"/>
    <w:rsid w:val="00F64982"/>
    <w:rsid w:val="00F7390D"/>
    <w:rsid w:val="00F75470"/>
    <w:rsid w:val="00F76F0C"/>
    <w:rsid w:val="00F91167"/>
    <w:rsid w:val="00FA1F3E"/>
    <w:rsid w:val="00FA6FC5"/>
    <w:rsid w:val="00FB46A5"/>
    <w:rsid w:val="00FC18A0"/>
    <w:rsid w:val="00FD19F2"/>
    <w:rsid w:val="00FD4E04"/>
    <w:rsid w:val="00FE072A"/>
    <w:rsid w:val="00FF4695"/>
    <w:rsid w:val="00FF51E1"/>
    <w:rsid w:val="07D1BD75"/>
    <w:rsid w:val="0A314516"/>
    <w:rsid w:val="1606BAEA"/>
    <w:rsid w:val="20688676"/>
    <w:rsid w:val="24B2D443"/>
    <w:rsid w:val="2AAC92D8"/>
    <w:rsid w:val="2E561ED5"/>
    <w:rsid w:val="35F90B75"/>
    <w:rsid w:val="41099DDB"/>
    <w:rsid w:val="48273B46"/>
    <w:rsid w:val="49674513"/>
    <w:rsid w:val="5C2A5A36"/>
    <w:rsid w:val="6C12CEFC"/>
    <w:rsid w:val="78FF30EC"/>
    <w:rsid w:val="7AFDB1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1">
    <w:name w:val="heading 1"/>
    <w:basedOn w:val="Standard"/>
    <w:next w:val="Standard"/>
    <w:link w:val="berschrift1Zchn"/>
    <w:qFormat/>
    <w:locked/>
    <w:rsid w:val="002E44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9"/>
    <w:semiHidden/>
    <w:locked/>
    <w:rsid w:val="008B4504"/>
    <w:rPr>
      <w:rFonts w:ascii="Cambria" w:hAnsi="Cambria" w:cs="Times New Roman"/>
      <w:b/>
      <w:bCs/>
      <w:i/>
      <w:iCs/>
      <w:sz w:val="28"/>
      <w:szCs w:val="28"/>
    </w:rPr>
  </w:style>
  <w:style w:type="paragraph" w:styleId="Textkrper">
    <w:name w:val="Body Text"/>
    <w:basedOn w:val="Standard"/>
    <w:link w:val="TextkrperZchn"/>
    <w:uiPriority w:val="99"/>
    <w:rsid w:val="004E1D02"/>
    <w:pPr>
      <w:spacing w:line="480" w:lineRule="auto"/>
      <w:jc w:val="both"/>
    </w:pPr>
    <w:rPr>
      <w:szCs w:val="20"/>
    </w:rPr>
  </w:style>
  <w:style w:type="character" w:customStyle="1" w:styleId="TextkrperZchn">
    <w:name w:val="Textkörper Zchn"/>
    <w:basedOn w:val="Absatz-Standardschriftart"/>
    <w:link w:val="Textkrper"/>
    <w:uiPriority w:val="99"/>
    <w:semiHidden/>
    <w:locked/>
    <w:rsid w:val="008B4504"/>
    <w:rPr>
      <w:rFonts w:cs="Times New Roman"/>
      <w:sz w:val="24"/>
      <w:szCs w:val="24"/>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styleId="Textkrper2">
    <w:name w:val="Body Text 2"/>
    <w:basedOn w:val="Standard"/>
    <w:link w:val="Textkrper2Zchn"/>
    <w:uiPriority w:val="99"/>
    <w:rsid w:val="004E1D02"/>
    <w:rPr>
      <w:rFonts w:ascii="Arial" w:hAnsi="Arial" w:cs="Arial"/>
      <w:b/>
      <w:bCs/>
      <w:sz w:val="22"/>
    </w:rPr>
  </w:style>
  <w:style w:type="character" w:customStyle="1" w:styleId="Textkrper2Zchn">
    <w:name w:val="Textkörper 2 Zchn"/>
    <w:basedOn w:val="Absatz-Standardschriftart"/>
    <w:link w:val="Textkrper2"/>
    <w:uiPriority w:val="99"/>
    <w:semiHidden/>
    <w:locked/>
    <w:rsid w:val="008B4504"/>
    <w:rPr>
      <w:rFonts w:cs="Times New Roman"/>
      <w:sz w:val="24"/>
      <w:szCs w:val="24"/>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Sprechblasentext">
    <w:name w:val="Balloon Text"/>
    <w:basedOn w:val="Standard"/>
    <w:link w:val="SprechblasentextZchn"/>
    <w:uiPriority w:val="99"/>
    <w:semiHidden/>
    <w:rsid w:val="004E1D0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B4504"/>
    <w:rPr>
      <w:rFonts w:cs="Times New Roman"/>
      <w:sz w:val="2"/>
    </w:rPr>
  </w:style>
  <w:style w:type="paragraph" w:styleId="Titel">
    <w:name w:val="Title"/>
    <w:basedOn w:val="Standard"/>
    <w:next w:val="Standard"/>
    <w:link w:val="TitelZchn"/>
    <w:uiPriority w:val="99"/>
    <w:qFormat/>
    <w:rsid w:val="005638EB"/>
    <w:pPr>
      <w:pBdr>
        <w:bottom w:val="single" w:sz="8" w:space="4" w:color="2DA2BF"/>
      </w:pBdr>
      <w:spacing w:after="300"/>
      <w:contextualSpacing/>
    </w:pPr>
    <w:rPr>
      <w:rFonts w:ascii="Lucida Sans Unicode" w:hAnsi="Lucida Sans Unicode"/>
      <w:color w:val="343434"/>
      <w:spacing w:val="5"/>
      <w:kern w:val="28"/>
      <w:sz w:val="52"/>
      <w:szCs w:val="52"/>
    </w:rPr>
  </w:style>
  <w:style w:type="character" w:customStyle="1" w:styleId="TitelZchn">
    <w:name w:val="Titel Zchn"/>
    <w:basedOn w:val="Absatz-Standardschriftart"/>
    <w:link w:val="Titel"/>
    <w:uiPriority w:val="99"/>
    <w:locked/>
    <w:rsid w:val="005638EB"/>
    <w:rPr>
      <w:rFonts w:ascii="Lucida Sans Unicode" w:hAnsi="Lucida Sans Unicode" w:cs="Times New Roman"/>
      <w:color w:val="343434"/>
      <w:spacing w:val="5"/>
      <w:kern w:val="28"/>
      <w:sz w:val="52"/>
      <w:szCs w:val="52"/>
    </w:rPr>
  </w:style>
  <w:style w:type="paragraph" w:styleId="Kopfzeile">
    <w:name w:val="header"/>
    <w:basedOn w:val="Standard"/>
    <w:link w:val="KopfzeileZchn"/>
    <w:uiPriority w:val="99"/>
    <w:rsid w:val="004E1D02"/>
    <w:pPr>
      <w:tabs>
        <w:tab w:val="center" w:pos="4536"/>
        <w:tab w:val="right" w:pos="9072"/>
      </w:tabs>
    </w:pPr>
  </w:style>
  <w:style w:type="character" w:customStyle="1" w:styleId="KopfzeileZchn">
    <w:name w:val="Kopfzeile Zchn"/>
    <w:basedOn w:val="Absatz-Standardschriftart"/>
    <w:link w:val="Kopfzeile"/>
    <w:uiPriority w:val="99"/>
    <w:semiHidden/>
    <w:locked/>
    <w:rsid w:val="008B4504"/>
    <w:rPr>
      <w:rFonts w:cs="Times New Roman"/>
      <w:sz w:val="24"/>
      <w:szCs w:val="24"/>
    </w:rPr>
  </w:style>
  <w:style w:type="paragraph" w:styleId="Fuzeile">
    <w:name w:val="footer"/>
    <w:basedOn w:val="Standard"/>
    <w:link w:val="FuzeileZchn"/>
    <w:uiPriority w:val="99"/>
    <w:rsid w:val="004E1D02"/>
    <w:pPr>
      <w:tabs>
        <w:tab w:val="center" w:pos="4536"/>
        <w:tab w:val="right" w:pos="9072"/>
      </w:tabs>
    </w:pPr>
  </w:style>
  <w:style w:type="character" w:customStyle="1" w:styleId="FuzeileZchn">
    <w:name w:val="Fußzeile Zchn"/>
    <w:basedOn w:val="Absatz-Standardschriftart"/>
    <w:link w:val="Fuzeile"/>
    <w:uiPriority w:val="99"/>
    <w:locked/>
    <w:rsid w:val="008B4504"/>
    <w:rPr>
      <w:rFonts w:cs="Times New Roman"/>
      <w:sz w:val="24"/>
      <w:szCs w:val="24"/>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styleId="Kommentarzeichen">
    <w:name w:val="annotation reference"/>
    <w:basedOn w:val="Absatz-Standardschriftart"/>
    <w:uiPriority w:val="99"/>
    <w:semiHidden/>
    <w:unhideWhenUsed/>
    <w:rsid w:val="00DE5197"/>
    <w:rPr>
      <w:sz w:val="16"/>
      <w:szCs w:val="16"/>
    </w:rPr>
  </w:style>
  <w:style w:type="paragraph" w:styleId="Kommentartext">
    <w:name w:val="annotation text"/>
    <w:basedOn w:val="Standard"/>
    <w:link w:val="KommentartextZchn"/>
    <w:uiPriority w:val="99"/>
    <w:unhideWhenUsed/>
    <w:rsid w:val="00DE5197"/>
    <w:rPr>
      <w:sz w:val="20"/>
      <w:szCs w:val="20"/>
    </w:rPr>
  </w:style>
  <w:style w:type="character" w:customStyle="1" w:styleId="KommentartextZchn">
    <w:name w:val="Kommentartext Zchn"/>
    <w:basedOn w:val="Absatz-Standardschriftart"/>
    <w:link w:val="Kommentartext"/>
    <w:uiPriority w:val="99"/>
    <w:rsid w:val="00DE5197"/>
    <w:rPr>
      <w:sz w:val="20"/>
      <w:szCs w:val="20"/>
    </w:rPr>
  </w:style>
  <w:style w:type="paragraph" w:styleId="Kommentarthema">
    <w:name w:val="annotation subject"/>
    <w:basedOn w:val="Kommentartext"/>
    <w:next w:val="Kommentartext"/>
    <w:link w:val="KommentarthemaZchn"/>
    <w:uiPriority w:val="99"/>
    <w:semiHidden/>
    <w:unhideWhenUsed/>
    <w:rsid w:val="00DE5197"/>
    <w:rPr>
      <w:b/>
      <w:bCs/>
    </w:rPr>
  </w:style>
  <w:style w:type="character" w:customStyle="1" w:styleId="KommentarthemaZchn">
    <w:name w:val="Kommentarthema Zchn"/>
    <w:basedOn w:val="KommentartextZchn"/>
    <w:link w:val="Kommentarthema"/>
    <w:uiPriority w:val="99"/>
    <w:semiHidden/>
    <w:rsid w:val="00DE5197"/>
    <w:rPr>
      <w:b/>
      <w:bCs/>
      <w:sz w:val="20"/>
      <w:szCs w:val="20"/>
    </w:rPr>
  </w:style>
  <w:style w:type="character" w:styleId="NichtaufgelsteErwhnung">
    <w:name w:val="Unresolved Mention"/>
    <w:basedOn w:val="Absatz-Standardschriftart"/>
    <w:uiPriority w:val="99"/>
    <w:semiHidden/>
    <w:unhideWhenUsed/>
    <w:rsid w:val="00DE5197"/>
    <w:rPr>
      <w:color w:val="605E5C"/>
      <w:shd w:val="clear" w:color="auto" w:fill="E1DFDD"/>
    </w:rPr>
  </w:style>
  <w:style w:type="table" w:customStyle="1" w:styleId="TableNormal">
    <w:name w:val="Table Normal"/>
    <w:uiPriority w:val="99"/>
    <w:semiHidden/>
    <w:unhideWhenUsed/>
    <w:rsid w:val="00386323"/>
    <w:tblPr>
      <w:tblInd w:w="0" w:type="dxa"/>
      <w:tblCellMar>
        <w:top w:w="0" w:type="dxa"/>
        <w:left w:w="108" w:type="dxa"/>
        <w:bottom w:w="0" w:type="dxa"/>
        <w:right w:w="108" w:type="dxa"/>
      </w:tblCellMar>
    </w:tblPr>
  </w:style>
  <w:style w:type="character" w:customStyle="1" w:styleId="berschrift1Zchn">
    <w:name w:val="Überschrift 1 Zchn"/>
    <w:basedOn w:val="Absatz-Standardschriftart"/>
    <w:link w:val="berschrift1"/>
    <w:rsid w:val="002E44B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8BB381-871D-467E-A6DF-1E52B3627024}">
  <we:reference id="WA200010453" version="1.0.0.1" store="Omex" storeType="OMEX"/>
  <we:alternateReferences>
    <we:reference id="WA200010453" version="1.0.0.1" store="WA200010453" storeType="OMEX"/>
  </we:alternateReferences>
  <we:properties>
    <we:property name="claude.fileId" value="&quot;94ca9b27-b47b-4a5c-ad42-c424c85d969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01684f-1559-4d3f-bfff-e8a8e3893d45">
      <UserInfo>
        <DisplayName/>
        <AccountId xsi:nil="true"/>
        <AccountType/>
      </UserInfo>
    </SharedWithUsers>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C8BE886A-696D-4469-87D2-18839E7CA891}">
  <ds:schemaRefs>
    <ds:schemaRef ds:uri="http://schemas.microsoft.com/office/2006/metadata/properties"/>
    <ds:schemaRef ds:uri="http://schemas.microsoft.com/office/infopath/2007/PartnerControls"/>
    <ds:schemaRef ds:uri="44a56295-c29e-4898-8136-a54736c65b82"/>
    <ds:schemaRef ds:uri="4301684f-1559-4d3f-bfff-e8a8e3893d45"/>
    <ds:schemaRef ds:uri="f346cd05-0f46-482e-b96e-e3a44d77373a"/>
  </ds:schemaRefs>
</ds:datastoreItem>
</file>

<file path=customXml/itemProps2.xml><?xml version="1.0" encoding="utf-8"?>
<ds:datastoreItem xmlns:ds="http://schemas.openxmlformats.org/officeDocument/2006/customXml" ds:itemID="{DA8ED69C-D5A7-4D22-9EFA-8A6313BFD69D}"/>
</file>

<file path=customXml/itemProps3.xml><?xml version="1.0" encoding="utf-8"?>
<ds:datastoreItem xmlns:ds="http://schemas.openxmlformats.org/officeDocument/2006/customXml" ds:itemID="{A816021C-1AAC-4B91-B489-9CC0521F6061}">
  <ds:schemaRefs>
    <ds:schemaRef ds:uri="http://schemas.microsoft.com/sharepoint/v3/contenttype/forms"/>
  </ds:schemaRefs>
</ds:datastoreItem>
</file>

<file path=customXml/itemProps4.xml><?xml version="1.0" encoding="utf-8"?>
<ds:datastoreItem xmlns:ds="http://schemas.openxmlformats.org/officeDocument/2006/customXml" ds:itemID="{CCA9DB72-4422-4182-8350-9C6190CAF43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1378</Words>
  <Characters>8683</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2026-08-27T11:39:00Z</dcterms:created>
  <dcterms:modified xsi:type="dcterms:W3CDTF">2026-09-04T10:08:00Z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60600</vt:r8>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ContentTypeId">
    <vt:lpwstr>0x010100F77194956963F84CB325FA1B62EF5F57</vt:lpwstr>
  </property>
</Properties>
</file>