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342848E" w14:textId="77777777">
        <w:tc>
          <w:tcPr>
            <w:tcW w:w="9212" w:type="dxa"/>
          </w:tcPr>
          <w:p w14:paraId="3856C14D" w14:textId="77777777" w:rsidR="008E6675" w:rsidRPr="005638EB" w:rsidRDefault="008E6675" w:rsidP="002005AF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 xml:space="preserve">Haben Sie externe Hilfestellungen </w:t>
            </w:r>
            <w:r w:rsidR="002333FF">
              <w:rPr>
                <w:rFonts w:ascii="Arial Narrow" w:hAnsi="Arial Narrow"/>
                <w:b/>
                <w:sz w:val="22"/>
              </w:rPr>
              <w:t xml:space="preserve">zum Ausfüllen der Formblätter </w:t>
            </w:r>
            <w:r w:rsidRPr="005638EB">
              <w:rPr>
                <w:rFonts w:ascii="Arial Narrow" w:hAnsi="Arial Narrow"/>
                <w:b/>
                <w:sz w:val="22"/>
              </w:rPr>
              <w:t>in Anspruch genommen</w:t>
            </w:r>
            <w:r w:rsidR="002005AF">
              <w:rPr>
                <w:rFonts w:ascii="Arial Narrow" w:hAnsi="Arial Narrow"/>
                <w:b/>
                <w:sz w:val="22"/>
              </w:rPr>
              <w:t>?</w:t>
            </w:r>
            <w:r w:rsidRPr="005638EB">
              <w:rPr>
                <w:rFonts w:ascii="Arial Narrow" w:hAnsi="Arial Narrow"/>
                <w:b/>
                <w:sz w:val="22"/>
              </w:rPr>
              <w:t xml:space="preserve">  Wenn ja, bitte geben Sie an, welche Hilfestellung</w:t>
            </w:r>
            <w:r w:rsidR="002005AF">
              <w:rPr>
                <w:rFonts w:ascii="Arial Narrow" w:hAnsi="Arial Narrow"/>
                <w:b/>
                <w:sz w:val="22"/>
              </w:rPr>
              <w:t xml:space="preserve"> Sie in Anspruch genommen haben</w:t>
            </w:r>
            <w:r w:rsidRPr="005638EB">
              <w:rPr>
                <w:rFonts w:ascii="Arial Narrow" w:hAnsi="Arial Narrow"/>
                <w:b/>
                <w:sz w:val="22"/>
              </w:rPr>
              <w:t>?</w:t>
            </w:r>
          </w:p>
        </w:tc>
      </w:tr>
      <w:tr w:rsidR="008E6675" w:rsidRPr="005638EB" w14:paraId="2315EEB9" w14:textId="77777777">
        <w:tc>
          <w:tcPr>
            <w:tcW w:w="9212" w:type="dxa"/>
          </w:tcPr>
          <w:p w14:paraId="59E436C4" w14:textId="72BE3445" w:rsidR="008E6675" w:rsidRPr="005638EB" w:rsidRDefault="00A67F5E" w:rsidP="005638EB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  <w:sz w:val="22"/>
              </w:rPr>
              <w:t>Dieses Formular enthält Formulierungsvorschläge der AstraZeneca GmbH.</w:t>
            </w:r>
          </w:p>
        </w:tc>
      </w:tr>
    </w:tbl>
    <w:p w14:paraId="1B73E9CE" w14:textId="77777777" w:rsidR="008E6675" w:rsidRPr="005638EB" w:rsidRDefault="008E6675" w:rsidP="005638EB">
      <w:pPr>
        <w:rPr>
          <w:rFonts w:ascii="Arial Narrow" w:hAnsi="Arial Narrow"/>
        </w:rPr>
      </w:pPr>
    </w:p>
    <w:tbl>
      <w:tblPr>
        <w:tblStyle w:val="TableNormal1"/>
        <w:tblW w:w="921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69DF06E3" w14:textId="77777777" w:rsidTr="000B5149">
        <w:tc>
          <w:tcPr>
            <w:tcW w:w="9212" w:type="dxa"/>
          </w:tcPr>
          <w:p w14:paraId="48DD38F6" w14:textId="62BF7CF8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Angefragte Untersuchungs- und Beh</w:t>
            </w:r>
            <w:r w:rsidR="002333FF">
              <w:rPr>
                <w:rFonts w:ascii="Arial Narrow" w:hAnsi="Arial Narrow"/>
                <w:b/>
                <w:sz w:val="22"/>
              </w:rPr>
              <w:t>andlungsmethode</w:t>
            </w:r>
          </w:p>
        </w:tc>
      </w:tr>
      <w:tr w:rsidR="000B5149" w:rsidRPr="007F255B" w14:paraId="3534B4A0" w14:textId="77777777" w:rsidTr="000B5149">
        <w:tc>
          <w:tcPr>
            <w:tcW w:w="9212" w:type="dxa"/>
          </w:tcPr>
          <w:p w14:paraId="2C182448" w14:textId="24985101" w:rsidR="000B5149" w:rsidRPr="00394E09" w:rsidRDefault="009016D5" w:rsidP="000B5149">
            <w:pPr>
              <w:rPr>
                <w:rFonts w:ascii="Arial Narrow" w:hAnsi="Arial Narrow"/>
                <w:sz w:val="22"/>
              </w:rPr>
            </w:pPr>
            <w:r w:rsidRPr="004D234C">
              <w:rPr>
                <w:rFonts w:ascii="Arial Narrow" w:hAnsi="Arial Narrow"/>
                <w:color w:val="000000" w:themeColor="text1"/>
                <w:sz w:val="22"/>
              </w:rPr>
              <w:t>Camizestrant</w:t>
            </w:r>
          </w:p>
        </w:tc>
      </w:tr>
    </w:tbl>
    <w:p w14:paraId="42022921" w14:textId="77777777" w:rsidR="008E6675" w:rsidRPr="005638EB" w:rsidRDefault="008E6675" w:rsidP="005638EB">
      <w:pPr>
        <w:rPr>
          <w:rFonts w:ascii="Arial Narrow" w:hAnsi="Arial Narrow"/>
          <w:b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16B6F275" w14:textId="77777777">
        <w:tc>
          <w:tcPr>
            <w:tcW w:w="9212" w:type="dxa"/>
          </w:tcPr>
          <w:p w14:paraId="67F0AA02" w14:textId="4EF70D85" w:rsidR="008E6675" w:rsidRPr="005638EB" w:rsidRDefault="008E6675" w:rsidP="00596F9A">
            <w:pPr>
              <w:tabs>
                <w:tab w:val="left" w:pos="7465"/>
              </w:tabs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Alternative Bezeichnung(en) der Methode</w:t>
            </w:r>
            <w:r>
              <w:rPr>
                <w:rFonts w:ascii="Arial Narrow" w:hAnsi="Arial Narrow"/>
                <w:b/>
                <w:sz w:val="22"/>
              </w:rPr>
              <w:tab/>
            </w:r>
          </w:p>
        </w:tc>
      </w:tr>
      <w:tr w:rsidR="008E6675" w:rsidRPr="005638EB" w14:paraId="6AA1CD49" w14:textId="77777777">
        <w:tc>
          <w:tcPr>
            <w:tcW w:w="9212" w:type="dxa"/>
          </w:tcPr>
          <w:p w14:paraId="03804348" w14:textId="4C650CEF" w:rsidR="008E6675" w:rsidRPr="005638EB" w:rsidRDefault="009016D5" w:rsidP="005638EB">
            <w:pPr>
              <w:rPr>
                <w:rFonts w:ascii="Arial Narrow" w:hAnsi="Arial Narrow"/>
              </w:rPr>
            </w:pPr>
            <w:r w:rsidRPr="004D234C">
              <w:rPr>
                <w:rFonts w:ascii="Arial Narrow" w:hAnsi="Arial Narrow"/>
                <w:color w:val="000000" w:themeColor="text1"/>
                <w:sz w:val="22"/>
              </w:rPr>
              <w:t>Etcamah®</w:t>
            </w:r>
          </w:p>
        </w:tc>
      </w:tr>
    </w:tbl>
    <w:p w14:paraId="5C4D6932" w14:textId="77777777" w:rsidR="004C4F82" w:rsidRDefault="004C4F82"/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4C4F82" w:rsidRPr="004C4F82" w14:paraId="6FC43EE4" w14:textId="77777777" w:rsidTr="004C4F8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90C9" w14:textId="48FE42C0" w:rsidR="004C4F82" w:rsidRPr="004C4F82" w:rsidRDefault="004C4F82" w:rsidP="004C4F82">
            <w:pPr>
              <w:tabs>
                <w:tab w:val="left" w:pos="7465"/>
              </w:tabs>
              <w:rPr>
                <w:rFonts w:ascii="Arial Narrow" w:hAnsi="Arial Narrow"/>
                <w:b/>
                <w:sz w:val="22"/>
              </w:rPr>
            </w:pPr>
            <w:r w:rsidRPr="004C4F82">
              <w:rPr>
                <w:rFonts w:ascii="Arial Narrow" w:hAnsi="Arial Narrow"/>
                <w:b/>
                <w:sz w:val="22"/>
              </w:rPr>
              <w:t>Beruht die neue Untersuchungs- und Behandlungsmethode vollständig oder in Teilen auf dem Ei</w:t>
            </w:r>
            <w:r>
              <w:rPr>
                <w:rFonts w:ascii="Arial Narrow" w:hAnsi="Arial Narrow"/>
                <w:b/>
                <w:sz w:val="22"/>
              </w:rPr>
              <w:t>nsatz eines Medizinproduktes?</w:t>
            </w:r>
            <w:r w:rsidRPr="004C4F82">
              <w:rPr>
                <w:rFonts w:ascii="Arial Narrow" w:hAnsi="Arial Narrow"/>
                <w:b/>
                <w:sz w:val="22"/>
              </w:rPr>
              <w:tab/>
            </w:r>
          </w:p>
        </w:tc>
      </w:tr>
      <w:tr w:rsidR="004C4F82" w:rsidRPr="005638EB" w14:paraId="049FBCCE" w14:textId="77777777" w:rsidTr="004C4F82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B2A39" w14:textId="3342DF99" w:rsidR="004C4F82" w:rsidRPr="004D234C" w:rsidRDefault="008B7669" w:rsidP="008B7669">
            <w:pPr>
              <w:rPr>
                <w:rFonts w:ascii="Arial Narrow" w:hAnsi="Arial Narrow"/>
                <w:sz w:val="22"/>
              </w:rPr>
            </w:pPr>
            <w:r w:rsidRPr="008B7669">
              <w:rPr>
                <w:rFonts w:ascii="Arial Narrow" w:hAnsi="Arial Narrow"/>
                <w:sz w:val="22"/>
              </w:rPr>
              <w:t>[</w:t>
            </w:r>
            <w:r w:rsidRPr="0036178C">
              <w:rPr>
                <w:rFonts w:ascii="Arial Narrow" w:hAnsi="Arial Narrow"/>
                <w:sz w:val="22"/>
                <w:highlight w:val="yellow"/>
              </w:rPr>
              <w:t>nein ankreuzen</w:t>
            </w:r>
            <w:r w:rsidRPr="008B7669">
              <w:rPr>
                <w:rFonts w:ascii="Arial Narrow" w:hAnsi="Arial Narrow"/>
                <w:sz w:val="22"/>
              </w:rPr>
              <w:t>]</w:t>
            </w:r>
            <w:r w:rsidR="006C656D">
              <w:rPr>
                <w:rFonts w:ascii="Arial Narrow" w:hAnsi="Arial Narrow"/>
                <w:color w:val="00B050"/>
                <w:sz w:val="22"/>
              </w:rPr>
              <w:t xml:space="preserve"> </w:t>
            </w:r>
          </w:p>
        </w:tc>
      </w:tr>
    </w:tbl>
    <w:p w14:paraId="7F1AD41E" w14:textId="77777777" w:rsidR="008E6675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492AB4" w:rsidRPr="005638EB" w14:paraId="5055E8B5" w14:textId="77777777" w:rsidTr="0036178C">
        <w:tc>
          <w:tcPr>
            <w:tcW w:w="9212" w:type="dxa"/>
          </w:tcPr>
          <w:p w14:paraId="43488653" w14:textId="436833FA" w:rsidR="00492AB4" w:rsidRPr="005638EB" w:rsidRDefault="00492AB4" w:rsidP="006354B6">
            <w:pPr>
              <w:tabs>
                <w:tab w:val="left" w:pos="7465"/>
              </w:tabs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</w:rPr>
              <w:t>Wurde für diese angefrag</w:t>
            </w:r>
            <w:r w:rsidR="00DC6CBD">
              <w:rPr>
                <w:rFonts w:ascii="Arial Narrow" w:hAnsi="Arial Narrow"/>
                <w:b/>
                <w:sz w:val="22"/>
              </w:rPr>
              <w:t>te Untersuchungs- und Behandlungsmethode von Ihrem Kranke</w:t>
            </w:r>
            <w:r w:rsidR="00DB14F4">
              <w:rPr>
                <w:rFonts w:ascii="Arial Narrow" w:hAnsi="Arial Narrow"/>
                <w:b/>
                <w:sz w:val="22"/>
              </w:rPr>
              <w:t>nhaus bereits vor dem 01.01.202</w:t>
            </w:r>
            <w:r w:rsidR="004226DE">
              <w:rPr>
                <w:rFonts w:ascii="Arial Narrow" w:hAnsi="Arial Narrow"/>
                <w:b/>
                <w:sz w:val="22"/>
              </w:rPr>
              <w:t>6</w:t>
            </w:r>
            <w:r w:rsidR="00DC6CBD">
              <w:rPr>
                <w:rFonts w:ascii="Arial Narrow" w:hAnsi="Arial Narrow"/>
                <w:b/>
                <w:sz w:val="22"/>
              </w:rPr>
              <w:t xml:space="preserve"> eine Anfrage gemäß §6 Abs. 2 KHEntG an das InEK übermittelt</w:t>
            </w:r>
            <w:r w:rsidR="002333FF">
              <w:rPr>
                <w:rFonts w:ascii="Arial Narrow" w:hAnsi="Arial Narrow"/>
                <w:b/>
                <w:sz w:val="22"/>
              </w:rPr>
              <w:t>?</w:t>
            </w:r>
          </w:p>
        </w:tc>
      </w:tr>
      <w:tr w:rsidR="00492AB4" w:rsidRPr="005638EB" w14:paraId="3F239A32" w14:textId="77777777" w:rsidTr="0036178C">
        <w:tc>
          <w:tcPr>
            <w:tcW w:w="9212" w:type="dxa"/>
          </w:tcPr>
          <w:p w14:paraId="7DD0679B" w14:textId="13E60963" w:rsidR="000B5149" w:rsidRPr="000B5149" w:rsidRDefault="000B5149" w:rsidP="00CC7822">
            <w:pPr>
              <w:rPr>
                <w:rFonts w:ascii="Arial Narrow" w:hAnsi="Arial Narrow"/>
                <w:sz w:val="22"/>
                <w:highlight w:val="yellow"/>
              </w:rPr>
            </w:pPr>
            <w:r>
              <w:rPr>
                <w:rFonts w:ascii="Arial Narrow" w:hAnsi="Arial Narrow"/>
                <w:sz w:val="22"/>
                <w:highlight w:val="yellow"/>
              </w:rPr>
              <w:t>[N</w:t>
            </w:r>
            <w:r w:rsidRPr="00DC6CBD">
              <w:rPr>
                <w:rFonts w:ascii="Arial Narrow" w:hAnsi="Arial Narrow"/>
                <w:sz w:val="22"/>
                <w:highlight w:val="yellow"/>
              </w:rPr>
              <w:t>ein</w:t>
            </w:r>
            <w:r w:rsidRPr="00ED79AA">
              <w:rPr>
                <w:rFonts w:ascii="Arial Narrow" w:hAnsi="Arial Narrow"/>
                <w:sz w:val="22"/>
                <w:highlight w:val="yellow"/>
              </w:rPr>
              <w:t xml:space="preserve"> ankreuzen</w:t>
            </w:r>
            <w:r>
              <w:rPr>
                <w:rFonts w:ascii="Arial Narrow" w:hAnsi="Arial Narrow"/>
                <w:sz w:val="22"/>
                <w:highlight w:val="yellow"/>
              </w:rPr>
              <w:t>, da Medikament bisher noch nicht beim InEK angefragt wurde.</w:t>
            </w:r>
            <w:r w:rsidRPr="00ED79AA">
              <w:rPr>
                <w:rFonts w:ascii="Arial Narrow" w:hAnsi="Arial Narrow"/>
                <w:sz w:val="22"/>
                <w:highlight w:val="yellow"/>
              </w:rPr>
              <w:t>]</w:t>
            </w:r>
          </w:p>
        </w:tc>
      </w:tr>
    </w:tbl>
    <w:p w14:paraId="53DF57CA" w14:textId="77777777" w:rsidR="00492AB4" w:rsidRPr="005638EB" w:rsidRDefault="00492AB4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0823808B" w14:textId="77777777">
        <w:tc>
          <w:tcPr>
            <w:tcW w:w="9212" w:type="dxa"/>
          </w:tcPr>
          <w:p w14:paraId="3A37C23D" w14:textId="6AFD43C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Beschreibung der neuen Methode</w:t>
            </w:r>
          </w:p>
        </w:tc>
      </w:tr>
      <w:tr w:rsidR="008E6675" w:rsidRPr="005638EB" w14:paraId="5696BA9D" w14:textId="77777777">
        <w:tc>
          <w:tcPr>
            <w:tcW w:w="9212" w:type="dxa"/>
          </w:tcPr>
          <w:p w14:paraId="10195591" w14:textId="77777777" w:rsidR="00F66BEB" w:rsidRDefault="0036325A" w:rsidP="0036325A">
            <w:pPr>
              <w:rPr>
                <w:rFonts w:ascii="Arial Narrow" w:hAnsi="Arial Narrow"/>
                <w:sz w:val="22"/>
              </w:rPr>
            </w:pPr>
            <w:r w:rsidRPr="001C390E">
              <w:rPr>
                <w:rFonts w:ascii="Arial Narrow" w:hAnsi="Arial Narrow"/>
                <w:sz w:val="22"/>
              </w:rPr>
              <w:t xml:space="preserve">Wirkweise: </w:t>
            </w:r>
          </w:p>
          <w:p w14:paraId="2086199E" w14:textId="1376C0F9" w:rsidR="00054D12" w:rsidRPr="00054D12" w:rsidRDefault="00CE4AB6" w:rsidP="0036325A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Das Wachstum von </w:t>
            </w:r>
            <w:r w:rsidR="00B4158E">
              <w:rPr>
                <w:rFonts w:ascii="Arial Narrow" w:hAnsi="Arial Narrow"/>
                <w:sz w:val="22"/>
              </w:rPr>
              <w:t>Östrogenrezeptor(</w:t>
            </w:r>
            <w:r>
              <w:rPr>
                <w:rFonts w:ascii="Arial Narrow" w:hAnsi="Arial Narrow"/>
                <w:sz w:val="22"/>
              </w:rPr>
              <w:t>ER</w:t>
            </w:r>
            <w:r w:rsidR="00B4158E">
              <w:rPr>
                <w:rFonts w:ascii="Arial Narrow" w:hAnsi="Arial Narrow"/>
                <w:sz w:val="22"/>
              </w:rPr>
              <w:t>)</w:t>
            </w:r>
            <w:r>
              <w:rPr>
                <w:rFonts w:ascii="Arial Narrow" w:hAnsi="Arial Narrow"/>
                <w:sz w:val="22"/>
              </w:rPr>
              <w:t xml:space="preserve">-positivem Brustkrebs wird angeregt, wenn das Hormon Östrogen an die ER in den Krebszellen bindet. </w:t>
            </w:r>
            <w:r w:rsidR="00DC3D8D">
              <w:rPr>
                <w:rFonts w:ascii="Arial Narrow" w:hAnsi="Arial Narrow"/>
                <w:sz w:val="22"/>
              </w:rPr>
              <w:t xml:space="preserve">Camizestrant ist ein </w:t>
            </w:r>
            <w:r w:rsidR="0032264E">
              <w:rPr>
                <w:rFonts w:ascii="Arial Narrow" w:hAnsi="Arial Narrow"/>
                <w:sz w:val="22"/>
              </w:rPr>
              <w:t xml:space="preserve">oraler, </w:t>
            </w:r>
            <w:r w:rsidR="00E702C3">
              <w:rPr>
                <w:rFonts w:ascii="Arial Narrow" w:hAnsi="Arial Narrow"/>
                <w:sz w:val="22"/>
              </w:rPr>
              <w:t>selektiver Östrogenre</w:t>
            </w:r>
            <w:r w:rsidR="008258DA">
              <w:rPr>
                <w:rFonts w:ascii="Arial Narrow" w:hAnsi="Arial Narrow"/>
                <w:sz w:val="22"/>
              </w:rPr>
              <w:t>zeptor-Degrader (SERD)</w:t>
            </w:r>
            <w:r w:rsidR="004F4DD1">
              <w:rPr>
                <w:rFonts w:ascii="Arial Narrow" w:hAnsi="Arial Narrow"/>
                <w:sz w:val="22"/>
              </w:rPr>
              <w:t xml:space="preserve"> der nächsten Generation</w:t>
            </w:r>
            <w:r w:rsidR="0032264E">
              <w:rPr>
                <w:rFonts w:ascii="Arial Narrow" w:hAnsi="Arial Narrow"/>
                <w:sz w:val="22"/>
              </w:rPr>
              <w:t xml:space="preserve"> und ein</w:t>
            </w:r>
            <w:r w:rsidR="00CF48A1">
              <w:rPr>
                <w:rFonts w:ascii="Arial Narrow" w:hAnsi="Arial Narrow"/>
                <w:sz w:val="22"/>
              </w:rPr>
              <w:t xml:space="preserve"> </w:t>
            </w:r>
            <w:r w:rsidR="00366B11">
              <w:rPr>
                <w:rFonts w:ascii="Arial Narrow" w:hAnsi="Arial Narrow"/>
                <w:sz w:val="22"/>
              </w:rPr>
              <w:t>ER-Antagonist</w:t>
            </w:r>
            <w:r w:rsidRPr="00CE4AB6">
              <w:rPr>
                <w:rFonts w:ascii="Arial Narrow" w:hAnsi="Arial Narrow"/>
                <w:sz w:val="22"/>
              </w:rPr>
              <w:t>: Der Wirkstoff</w:t>
            </w:r>
            <w:r w:rsidR="00366B11">
              <w:rPr>
                <w:rFonts w:ascii="Arial Narrow" w:hAnsi="Arial Narrow"/>
                <w:sz w:val="22"/>
              </w:rPr>
              <w:t xml:space="preserve"> bindet an die </w:t>
            </w:r>
            <w:r w:rsidRPr="00CE4AB6">
              <w:rPr>
                <w:rFonts w:ascii="Arial Narrow" w:hAnsi="Arial Narrow"/>
                <w:sz w:val="22"/>
              </w:rPr>
              <w:t>Ligandenbindungsdomäne von ERα, antagonisiert die Aktivität von ERα, der sowohl von Wildtyp-ESR1 als auch von mutiertem ESR1 kodiert wird, und induziert den Proteasom-abhängigen Abbau von ERα, ohne</w:t>
            </w:r>
            <w:r w:rsidR="00282C6C">
              <w:rPr>
                <w:rFonts w:ascii="Arial Narrow" w:hAnsi="Arial Narrow"/>
                <w:sz w:val="22"/>
              </w:rPr>
              <w:t xml:space="preserve"> agonistische Restwirkung</w:t>
            </w:r>
            <w:r w:rsidRPr="00CE4AB6">
              <w:rPr>
                <w:rFonts w:ascii="Arial Narrow" w:hAnsi="Arial Narrow"/>
                <w:sz w:val="22"/>
              </w:rPr>
              <w:t>. Da die Rezeptoren dadurch blockiert und abgebaut werden, kann Östrogen das Wachstum der Krebszellen nicht mehr anregen; das Tumorwachstum wird verlangsamt</w:t>
            </w:r>
            <w:r w:rsidR="00373781" w:rsidRPr="00373781">
              <w:rPr>
                <w:rFonts w:ascii="Arial Narrow" w:hAnsi="Arial Narrow"/>
                <w:sz w:val="22"/>
              </w:rPr>
              <w:t>.</w:t>
            </w:r>
          </w:p>
          <w:p w14:paraId="117A5FC5" w14:textId="77777777" w:rsidR="0079070A" w:rsidRDefault="0079070A" w:rsidP="005638EB">
            <w:pPr>
              <w:rPr>
                <w:rFonts w:ascii="Arial Narrow" w:hAnsi="Arial Narrow"/>
                <w:sz w:val="22"/>
              </w:rPr>
            </w:pPr>
          </w:p>
          <w:p w14:paraId="54906838" w14:textId="360FA6AF" w:rsidR="00F66BEB" w:rsidRDefault="0036325A" w:rsidP="005638EB">
            <w:pPr>
              <w:rPr>
                <w:rFonts w:ascii="Arial Narrow" w:hAnsi="Arial Narrow"/>
                <w:sz w:val="22"/>
              </w:rPr>
            </w:pPr>
            <w:r w:rsidRPr="001C390E">
              <w:rPr>
                <w:rFonts w:ascii="Arial Narrow" w:hAnsi="Arial Narrow"/>
                <w:sz w:val="22"/>
              </w:rPr>
              <w:t xml:space="preserve">Evidenzlage: </w:t>
            </w:r>
          </w:p>
          <w:p w14:paraId="149A4AB8" w14:textId="3E10DF42" w:rsidR="008E6675" w:rsidRPr="0079070A" w:rsidRDefault="00854D14" w:rsidP="005638EB">
            <w:pPr>
              <w:rPr>
                <w:rFonts w:ascii="Arial Narrow" w:hAnsi="Arial Narrow"/>
                <w:sz w:val="22"/>
                <w:szCs w:val="22"/>
              </w:rPr>
            </w:pPr>
            <w:r w:rsidRPr="00854D14">
              <w:rPr>
                <w:rFonts w:ascii="Arial Narrow" w:hAnsi="Arial Narrow"/>
                <w:sz w:val="22"/>
              </w:rPr>
              <w:t>Die randomisierte, doppelblinde Phase-III-Studie SERENA-6 war zweistufig angelegt: Patientinnen und Patienten unter endokriner Erstlinientherapie plus CDK4/6-Inhibitor wurden zunächst mittels ctDNA regelmäßig auf das Neuauftreten einer ESR1-Mutation überwacht; erst bei positivem Befund und weiterhin fehlendem radiologischem Progress erfolgte die Randomisierung. Auf diesem Weg</w:t>
            </w:r>
            <w:r w:rsidR="00F66BEB" w:rsidRPr="00F66BEB">
              <w:rPr>
                <w:rFonts w:ascii="Arial Narrow" w:hAnsi="Arial Narrow"/>
                <w:sz w:val="22"/>
              </w:rPr>
              <w:t xml:space="preserve"> wurden 315 Patientinnen und Patienten mit ER-positivem/HER2-negativem, lokal fortgeschrittenem oder metastasiertem Mammakarzinom </w:t>
            </w:r>
            <w:r w:rsidR="00EA7F08">
              <w:rPr>
                <w:rFonts w:ascii="Arial Narrow" w:hAnsi="Arial Narrow"/>
                <w:sz w:val="22"/>
              </w:rPr>
              <w:t>bei</w:t>
            </w:r>
            <w:r w:rsidR="00AF5F34">
              <w:rPr>
                <w:rFonts w:ascii="Arial Narrow" w:hAnsi="Arial Narrow"/>
                <w:sz w:val="22"/>
              </w:rPr>
              <w:t xml:space="preserve"> Nachweis einer </w:t>
            </w:r>
            <w:r w:rsidR="00F66BEB" w:rsidRPr="00F66BEB">
              <w:rPr>
                <w:rFonts w:ascii="Arial Narrow" w:hAnsi="Arial Narrow"/>
                <w:sz w:val="22"/>
              </w:rPr>
              <w:t>ESR1-Mutation</w:t>
            </w:r>
            <w:r w:rsidR="00AF5F34">
              <w:rPr>
                <w:rFonts w:ascii="Arial Narrow" w:hAnsi="Arial Narrow"/>
                <w:sz w:val="22"/>
              </w:rPr>
              <w:t xml:space="preserve"> </w:t>
            </w:r>
            <w:r w:rsidR="00EA7F08">
              <w:rPr>
                <w:rFonts w:ascii="Arial Narrow" w:hAnsi="Arial Narrow"/>
                <w:sz w:val="22"/>
              </w:rPr>
              <w:t>(mittels</w:t>
            </w:r>
            <w:r w:rsidR="00AF5F34">
              <w:rPr>
                <w:rFonts w:ascii="Arial Narrow" w:hAnsi="Arial Narrow"/>
                <w:sz w:val="22"/>
              </w:rPr>
              <w:t xml:space="preserve"> ctDNA</w:t>
            </w:r>
            <w:r w:rsidR="00EA7F08">
              <w:rPr>
                <w:rFonts w:ascii="Arial Narrow" w:hAnsi="Arial Narrow"/>
                <w:sz w:val="22"/>
              </w:rPr>
              <w:t>)</w:t>
            </w:r>
            <w:r w:rsidR="00F66BEB" w:rsidRPr="00F66BEB">
              <w:rPr>
                <w:rFonts w:ascii="Arial Narrow" w:hAnsi="Arial Narrow"/>
                <w:sz w:val="22"/>
              </w:rPr>
              <w:t xml:space="preserve"> ohne </w:t>
            </w:r>
            <w:r w:rsidR="00633071">
              <w:rPr>
                <w:rFonts w:ascii="Arial Narrow" w:hAnsi="Arial Narrow"/>
                <w:sz w:val="22"/>
              </w:rPr>
              <w:t>Krankheitsprogression</w:t>
            </w:r>
            <w:r w:rsidR="00340D3A">
              <w:rPr>
                <w:rFonts w:ascii="Arial Narrow" w:hAnsi="Arial Narrow"/>
                <w:sz w:val="22"/>
              </w:rPr>
              <w:t xml:space="preserve"> </w:t>
            </w:r>
            <w:r w:rsidR="00D52E43">
              <w:rPr>
                <w:rFonts w:ascii="Arial Narrow" w:hAnsi="Arial Narrow"/>
                <w:sz w:val="22"/>
              </w:rPr>
              <w:t>während einer endokrinen</w:t>
            </w:r>
            <w:r w:rsidR="00D52E43" w:rsidRPr="00F66BEB">
              <w:rPr>
                <w:rFonts w:ascii="Arial Narrow" w:hAnsi="Arial Narrow"/>
                <w:sz w:val="22"/>
              </w:rPr>
              <w:t xml:space="preserve"> </w:t>
            </w:r>
            <w:r w:rsidR="00F66BEB" w:rsidRPr="00F66BEB">
              <w:rPr>
                <w:rFonts w:ascii="Arial Narrow" w:hAnsi="Arial Narrow"/>
                <w:sz w:val="22"/>
              </w:rPr>
              <w:t xml:space="preserve">Erstlinientherapie </w:t>
            </w:r>
            <w:r w:rsidR="00F15C7E">
              <w:rPr>
                <w:rFonts w:ascii="Arial Narrow" w:hAnsi="Arial Narrow"/>
                <w:sz w:val="22"/>
              </w:rPr>
              <w:t xml:space="preserve">in Kombination mit einem CDK4/6-Inhibitor </w:t>
            </w:r>
            <w:r w:rsidR="00F66BEB" w:rsidRPr="00F66BEB">
              <w:rPr>
                <w:rFonts w:ascii="Arial Narrow" w:hAnsi="Arial Narrow"/>
                <w:sz w:val="22"/>
              </w:rPr>
              <w:t xml:space="preserve">1:1 randomisiert: Umstellung auf Camizestrant 75 mg/Tag </w:t>
            </w:r>
            <w:r w:rsidR="00225F73">
              <w:rPr>
                <w:rFonts w:ascii="Arial Narrow" w:hAnsi="Arial Narrow"/>
                <w:sz w:val="22"/>
              </w:rPr>
              <w:t xml:space="preserve">plus </w:t>
            </w:r>
            <w:r w:rsidR="00225F73" w:rsidRPr="00F66BEB">
              <w:rPr>
                <w:rFonts w:ascii="Arial Narrow" w:hAnsi="Arial Narrow"/>
                <w:sz w:val="22"/>
              </w:rPr>
              <w:t xml:space="preserve">CDK4/6-Inhibitor </w:t>
            </w:r>
            <w:r w:rsidR="00F66BEB" w:rsidRPr="00F66BEB">
              <w:rPr>
                <w:rFonts w:ascii="Arial Narrow" w:hAnsi="Arial Narrow"/>
                <w:sz w:val="22"/>
              </w:rPr>
              <w:t xml:space="preserve">plus </w:t>
            </w:r>
            <w:r w:rsidR="00D35FF7">
              <w:rPr>
                <w:rFonts w:ascii="Arial Narrow" w:hAnsi="Arial Narrow"/>
                <w:sz w:val="22"/>
              </w:rPr>
              <w:t xml:space="preserve">Placebo-Aromatasehemmer </w:t>
            </w:r>
            <w:r w:rsidR="00F66BEB" w:rsidRPr="00F66BEB">
              <w:rPr>
                <w:rFonts w:ascii="Arial Narrow" w:hAnsi="Arial Narrow"/>
                <w:sz w:val="22"/>
              </w:rPr>
              <w:t xml:space="preserve">(n = 157) versus Fortsetzung des Aromatasehemmers </w:t>
            </w:r>
            <w:r w:rsidR="00D35FF7">
              <w:rPr>
                <w:rFonts w:ascii="Arial Narrow" w:hAnsi="Arial Narrow"/>
                <w:sz w:val="22"/>
              </w:rPr>
              <w:t xml:space="preserve">plus </w:t>
            </w:r>
            <w:r w:rsidR="00F66BEB" w:rsidRPr="00F66BEB">
              <w:rPr>
                <w:rFonts w:ascii="Arial Narrow" w:hAnsi="Arial Narrow"/>
                <w:sz w:val="22"/>
              </w:rPr>
              <w:t>CDK4/6-Inhibitor</w:t>
            </w:r>
            <w:r w:rsidR="00225F73">
              <w:rPr>
                <w:rFonts w:ascii="Arial Narrow" w:hAnsi="Arial Narrow"/>
                <w:sz w:val="22"/>
              </w:rPr>
              <w:t xml:space="preserve"> </w:t>
            </w:r>
            <w:r w:rsidR="00225F73" w:rsidRPr="00F66BEB">
              <w:rPr>
                <w:rFonts w:ascii="Arial Narrow" w:hAnsi="Arial Narrow"/>
                <w:sz w:val="22"/>
              </w:rPr>
              <w:t xml:space="preserve">plus </w:t>
            </w:r>
            <w:r w:rsidR="00225F73">
              <w:rPr>
                <w:rFonts w:ascii="Arial Narrow" w:hAnsi="Arial Narrow"/>
                <w:sz w:val="22"/>
              </w:rPr>
              <w:t>Placebo-Camizestrant</w:t>
            </w:r>
            <w:r w:rsidR="00F66BEB" w:rsidRPr="00F66BEB">
              <w:rPr>
                <w:rFonts w:ascii="Arial Narrow" w:hAnsi="Arial Narrow"/>
                <w:sz w:val="22"/>
              </w:rPr>
              <w:t xml:space="preserve"> (n = 158). Die Umstellung auf Camizestrant </w:t>
            </w:r>
            <w:r w:rsidR="00F640A2">
              <w:rPr>
                <w:rFonts w:ascii="Arial Narrow" w:hAnsi="Arial Narrow"/>
                <w:sz w:val="22"/>
              </w:rPr>
              <w:t xml:space="preserve">nach Detektion einer </w:t>
            </w:r>
            <w:r w:rsidR="00F640A2" w:rsidRPr="00725247">
              <w:rPr>
                <w:rFonts w:ascii="Arial Narrow" w:hAnsi="Arial Narrow"/>
                <w:i/>
                <w:sz w:val="22"/>
              </w:rPr>
              <w:t>ESR1</w:t>
            </w:r>
            <w:r w:rsidR="00F640A2">
              <w:rPr>
                <w:rFonts w:ascii="Arial Narrow" w:hAnsi="Arial Narrow"/>
                <w:sz w:val="22"/>
              </w:rPr>
              <w:t xml:space="preserve">-Mutation bevor ein radiologischer Progress auftrat, </w:t>
            </w:r>
            <w:r w:rsidR="00F66BEB" w:rsidRPr="00F66BEB">
              <w:rPr>
                <w:rFonts w:ascii="Arial Narrow" w:hAnsi="Arial Narrow"/>
                <w:sz w:val="22"/>
              </w:rPr>
              <w:t>verlängerte das</w:t>
            </w:r>
            <w:r w:rsidR="00087C43">
              <w:rPr>
                <w:rFonts w:ascii="Arial Narrow" w:hAnsi="Arial Narrow"/>
                <w:sz w:val="22"/>
              </w:rPr>
              <w:t xml:space="preserve"> </w:t>
            </w:r>
            <w:r w:rsidR="000D2CCA">
              <w:rPr>
                <w:rFonts w:ascii="Arial Narrow" w:hAnsi="Arial Narrow"/>
                <w:sz w:val="22"/>
              </w:rPr>
              <w:t xml:space="preserve">mediane </w:t>
            </w:r>
            <w:r w:rsidR="00F66BEB" w:rsidRPr="00F66BEB">
              <w:rPr>
                <w:rFonts w:ascii="Arial Narrow" w:hAnsi="Arial Narrow"/>
                <w:sz w:val="22"/>
              </w:rPr>
              <w:t xml:space="preserve">progressionsfreie Überleben </w:t>
            </w:r>
            <w:r w:rsidR="000D2CCA">
              <w:rPr>
                <w:rFonts w:ascii="Arial Narrow" w:hAnsi="Arial Narrow"/>
                <w:sz w:val="22"/>
              </w:rPr>
              <w:t xml:space="preserve">(PFS) </w:t>
            </w:r>
            <w:r w:rsidR="00F66BEB" w:rsidRPr="00F66BEB">
              <w:rPr>
                <w:rFonts w:ascii="Arial Narrow" w:hAnsi="Arial Narrow"/>
                <w:sz w:val="22"/>
              </w:rPr>
              <w:t xml:space="preserve">signifikant von median 9,23 auf 16,76 Monate (HR 0,45; 95 %-KI 0,34–0,59; p &lt; 0,00001). </w:t>
            </w:r>
            <w:r w:rsidR="00D616C5">
              <w:rPr>
                <w:rFonts w:ascii="Arial Narrow" w:hAnsi="Arial Narrow"/>
                <w:sz w:val="22"/>
              </w:rPr>
              <w:t xml:space="preserve">Die Dauer der wirksamen Erstlinientherapie konnte dabei signifikant verlängert werden. </w:t>
            </w:r>
            <w:r w:rsidR="00D70CC3">
              <w:rPr>
                <w:rFonts w:ascii="Arial Narrow" w:hAnsi="Arial Narrow"/>
                <w:sz w:val="22"/>
              </w:rPr>
              <w:t xml:space="preserve">Bei einer Datenreife von 30% ergibt sich ein </w:t>
            </w:r>
            <w:r w:rsidR="009D6A4A">
              <w:rPr>
                <w:rFonts w:ascii="Arial Narrow" w:hAnsi="Arial Narrow"/>
                <w:sz w:val="22"/>
              </w:rPr>
              <w:t xml:space="preserve">medianes Gesamtüberleben (mOS) von 41,20 </w:t>
            </w:r>
            <w:r w:rsidR="00CD56CF">
              <w:rPr>
                <w:rFonts w:ascii="Arial Narrow" w:hAnsi="Arial Narrow"/>
                <w:sz w:val="22"/>
              </w:rPr>
              <w:t>versus 40,21 Monaten</w:t>
            </w:r>
            <w:r w:rsidR="00120B58">
              <w:rPr>
                <w:rFonts w:ascii="Arial Narrow" w:hAnsi="Arial Narrow"/>
                <w:sz w:val="22"/>
              </w:rPr>
              <w:t xml:space="preserve"> </w:t>
            </w:r>
            <w:r w:rsidR="00F66BEB" w:rsidRPr="00F66BEB">
              <w:rPr>
                <w:rFonts w:ascii="Arial Narrow" w:hAnsi="Arial Narrow"/>
                <w:sz w:val="22"/>
              </w:rPr>
              <w:t>HR 0,87; 95 %-KI 0,57–1,30).</w:t>
            </w:r>
            <w:r w:rsidR="008E6675" w:rsidRPr="001C390E">
              <w:rPr>
                <w:rFonts w:ascii="Arial Narrow" w:hAnsi="Arial Narrow"/>
                <w:sz w:val="22"/>
              </w:rPr>
              <w:t xml:space="preserve"> </w:t>
            </w:r>
            <w:r w:rsidR="00414824" w:rsidRPr="0079070A">
              <w:rPr>
                <w:rFonts w:ascii="Arial Narrow" w:hAnsi="Arial Narrow"/>
                <w:sz w:val="22"/>
                <w:szCs w:val="22"/>
              </w:rPr>
              <w:t xml:space="preserve">Weitere Studien des Entwicklungsprogramms sind abgeschlossen oder laufen (SERENA-1, SERENA-2, SERENA-4 sowie CAMBRIA-1 und CAMBRIA-2), betreffen jedoch andere Therapiesettings. </w:t>
            </w:r>
          </w:p>
          <w:p w14:paraId="499D63EF" w14:textId="77777777" w:rsidR="0079070A" w:rsidRDefault="0079070A" w:rsidP="004C4F82">
            <w:pPr>
              <w:rPr>
                <w:rFonts w:ascii="Arial Narrow" w:hAnsi="Arial Narrow"/>
                <w:sz w:val="22"/>
              </w:rPr>
            </w:pPr>
          </w:p>
          <w:p w14:paraId="6FE4C497" w14:textId="2B788545" w:rsidR="00D52629" w:rsidRDefault="0036325A" w:rsidP="004C4F82">
            <w:pPr>
              <w:rPr>
                <w:rFonts w:ascii="Arial Narrow" w:hAnsi="Arial Narrow"/>
                <w:sz w:val="22"/>
              </w:rPr>
            </w:pPr>
            <w:r w:rsidRPr="001C390E">
              <w:rPr>
                <w:rFonts w:ascii="Arial Narrow" w:hAnsi="Arial Narrow"/>
                <w:sz w:val="22"/>
              </w:rPr>
              <w:t>Dosi</w:t>
            </w:r>
            <w:r w:rsidR="004C4F82" w:rsidRPr="001C390E">
              <w:rPr>
                <w:rFonts w:ascii="Arial Narrow" w:hAnsi="Arial Narrow"/>
                <w:sz w:val="22"/>
              </w:rPr>
              <w:t>erung</w:t>
            </w:r>
            <w:r w:rsidRPr="001C390E">
              <w:rPr>
                <w:rFonts w:ascii="Arial Narrow" w:hAnsi="Arial Narrow"/>
                <w:sz w:val="22"/>
              </w:rPr>
              <w:t xml:space="preserve">: </w:t>
            </w:r>
          </w:p>
          <w:p w14:paraId="0AF79188" w14:textId="3831A176" w:rsidR="00DB14F4" w:rsidRPr="009013C8" w:rsidRDefault="008962FE" w:rsidP="0078272D">
            <w:pPr>
              <w:rPr>
                <w:rFonts w:ascii="Arial Narrow" w:hAnsi="Arial Narrow"/>
                <w:sz w:val="22"/>
                <w:lang w:val="de-CH"/>
              </w:rPr>
            </w:pPr>
            <w:r w:rsidRPr="008962FE">
              <w:rPr>
                <w:rFonts w:ascii="Arial Narrow" w:hAnsi="Arial Narrow"/>
                <w:sz w:val="22"/>
              </w:rPr>
              <w:t xml:space="preserve">Die empfohlene Dosis von </w:t>
            </w:r>
            <w:r w:rsidR="00D31E88">
              <w:rPr>
                <w:rFonts w:ascii="Arial Narrow" w:hAnsi="Arial Narrow"/>
                <w:sz w:val="22"/>
              </w:rPr>
              <w:t>Cami</w:t>
            </w:r>
            <w:r w:rsidR="009013C8">
              <w:rPr>
                <w:rFonts w:ascii="Arial Narrow" w:hAnsi="Arial Narrow"/>
                <w:sz w:val="22"/>
              </w:rPr>
              <w:t>zestrant</w:t>
            </w:r>
            <w:r w:rsidRPr="008962FE">
              <w:rPr>
                <w:rFonts w:ascii="Arial Narrow" w:hAnsi="Arial Narrow"/>
                <w:sz w:val="22"/>
              </w:rPr>
              <w:t xml:space="preserve"> in Kombination mit einem CDK4/6-Inhibitor beträgt 75 mg einmal täglich. </w:t>
            </w:r>
            <w:r w:rsidR="00DF4E05">
              <w:rPr>
                <w:rFonts w:ascii="Arial Narrow" w:hAnsi="Arial Narrow"/>
                <w:sz w:val="22"/>
              </w:rPr>
              <w:t xml:space="preserve">Die Applikation erfolgt oral. </w:t>
            </w:r>
            <w:r w:rsidRPr="008962FE">
              <w:rPr>
                <w:rFonts w:ascii="Arial Narrow" w:hAnsi="Arial Narrow"/>
                <w:sz w:val="22"/>
              </w:rPr>
              <w:t xml:space="preserve">Der CDK4/6-Inhibitor soll zu Beginn der Behandlung mit </w:t>
            </w:r>
            <w:r w:rsidR="009013C8">
              <w:rPr>
                <w:rFonts w:ascii="Arial Narrow" w:hAnsi="Arial Narrow"/>
                <w:sz w:val="22"/>
              </w:rPr>
              <w:t>Camizestrant</w:t>
            </w:r>
            <w:r w:rsidRPr="008962FE">
              <w:rPr>
                <w:rFonts w:ascii="Arial Narrow" w:hAnsi="Arial Narrow"/>
                <w:sz w:val="22"/>
              </w:rPr>
              <w:t xml:space="preserve"> in der gleichen Dosierung fortgesetzt werden wie zum Zeitpunkt des Nachweises der ESR1m</w:t>
            </w:r>
            <w:r w:rsidR="00BF4D80">
              <w:rPr>
                <w:rFonts w:ascii="Arial Narrow" w:hAnsi="Arial Narrow"/>
                <w:sz w:val="22"/>
              </w:rPr>
              <w:t xml:space="preserve">. </w:t>
            </w:r>
          </w:p>
        </w:tc>
      </w:tr>
    </w:tbl>
    <w:p w14:paraId="6F81F951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3F33158" w14:textId="77777777">
        <w:tc>
          <w:tcPr>
            <w:tcW w:w="9212" w:type="dxa"/>
          </w:tcPr>
          <w:p w14:paraId="684681EC" w14:textId="7F246CCE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Mit welchem OPS wird die Methode verschlüsselt?</w:t>
            </w:r>
          </w:p>
        </w:tc>
      </w:tr>
      <w:tr w:rsidR="008E6675" w:rsidRPr="006354B6" w14:paraId="5C95386E" w14:textId="77777777">
        <w:tc>
          <w:tcPr>
            <w:tcW w:w="9212" w:type="dxa"/>
          </w:tcPr>
          <w:p w14:paraId="276EB151" w14:textId="43E5A68F" w:rsidR="00CC7E5F" w:rsidRPr="006354B6" w:rsidRDefault="00620855" w:rsidP="00435583">
            <w:pPr>
              <w:rPr>
                <w:rFonts w:ascii="Arial Narrow" w:hAnsi="Arial Narrow"/>
                <w:sz w:val="22"/>
              </w:rPr>
            </w:pPr>
            <w:bookmarkStart w:id="0" w:name="_Hlk83810295"/>
            <w:r>
              <w:rPr>
                <w:rFonts w:ascii="Arial Narrow" w:hAnsi="Arial Narrow"/>
                <w:sz w:val="22"/>
              </w:rPr>
              <w:t>[</w:t>
            </w:r>
            <w:r w:rsidR="00BE3979" w:rsidRPr="0041411B">
              <w:rPr>
                <w:rFonts w:ascii="Arial Narrow" w:hAnsi="Arial Narrow"/>
                <w:sz w:val="22"/>
                <w:highlight w:val="yellow"/>
              </w:rPr>
              <w:t xml:space="preserve">Bitte </w:t>
            </w:r>
            <w:r w:rsidR="004C4F82" w:rsidRPr="0041411B">
              <w:rPr>
                <w:rFonts w:ascii="Arial Narrow" w:hAnsi="Arial Narrow"/>
                <w:sz w:val="22"/>
                <w:highlight w:val="yellow"/>
              </w:rPr>
              <w:t>ankreuzen</w:t>
            </w:r>
            <w:r w:rsidR="0036325A" w:rsidRPr="0041411B">
              <w:rPr>
                <w:rFonts w:ascii="Arial Narrow" w:hAnsi="Arial Narrow"/>
                <w:sz w:val="22"/>
                <w:highlight w:val="yellow"/>
              </w:rPr>
              <w:t xml:space="preserve">: </w:t>
            </w:r>
            <w:r w:rsidR="00DC6CBD" w:rsidRPr="0041411B">
              <w:rPr>
                <w:rFonts w:ascii="Arial Narrow" w:hAnsi="Arial Narrow"/>
                <w:sz w:val="22"/>
                <w:highlight w:val="yellow"/>
              </w:rPr>
              <w:t>Derzeit sind keine Prozedurencodes (OPS) verfügbar</w:t>
            </w:r>
            <w:bookmarkEnd w:id="0"/>
            <w:r w:rsidR="00BE3979" w:rsidRPr="0041411B">
              <w:rPr>
                <w:rFonts w:ascii="Arial Narrow" w:hAnsi="Arial Narrow"/>
                <w:sz w:val="22"/>
                <w:highlight w:val="yellow"/>
              </w:rPr>
              <w:t>.</w:t>
            </w:r>
            <w:r>
              <w:rPr>
                <w:rFonts w:ascii="Arial Narrow" w:hAnsi="Arial Narrow"/>
                <w:sz w:val="22"/>
              </w:rPr>
              <w:t>]</w:t>
            </w:r>
          </w:p>
        </w:tc>
      </w:tr>
    </w:tbl>
    <w:p w14:paraId="63A2C327" w14:textId="77777777" w:rsidR="00DC6CBD" w:rsidRPr="006354B6" w:rsidRDefault="00DC6CBD" w:rsidP="00EE0D0B">
      <w:pPr>
        <w:jc w:val="center"/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4C4F82" w:rsidRPr="005638EB" w14:paraId="1C363EAC" w14:textId="77777777" w:rsidTr="0036178C">
        <w:tc>
          <w:tcPr>
            <w:tcW w:w="9212" w:type="dxa"/>
          </w:tcPr>
          <w:p w14:paraId="76259E49" w14:textId="0E1E9B3E" w:rsidR="004C4F82" w:rsidRPr="005638EB" w:rsidRDefault="002333FF" w:rsidP="0036178C">
            <w:pPr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z w:val="22"/>
              </w:rPr>
              <w:t>Anmerkungen zu den Proz</w:t>
            </w:r>
            <w:r w:rsidR="004C4F82" w:rsidRPr="004C4F82">
              <w:rPr>
                <w:rFonts w:ascii="Arial Narrow" w:hAnsi="Arial Narrow"/>
                <w:b/>
                <w:sz w:val="22"/>
              </w:rPr>
              <w:t>eduren</w:t>
            </w:r>
          </w:p>
        </w:tc>
      </w:tr>
      <w:tr w:rsidR="004C4F82" w:rsidRPr="007F255B" w14:paraId="131FE40C" w14:textId="77777777" w:rsidTr="0036178C">
        <w:tc>
          <w:tcPr>
            <w:tcW w:w="9212" w:type="dxa"/>
          </w:tcPr>
          <w:p w14:paraId="48201DB1" w14:textId="6821A343" w:rsidR="004C4F82" w:rsidRPr="00435583" w:rsidRDefault="00FA03BD" w:rsidP="0043558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N/A</w:t>
            </w:r>
          </w:p>
        </w:tc>
      </w:tr>
    </w:tbl>
    <w:p w14:paraId="497C648B" w14:textId="77777777" w:rsidR="004C4F82" w:rsidRPr="005638EB" w:rsidRDefault="004C4F82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1C579B85" w14:textId="77777777">
        <w:tc>
          <w:tcPr>
            <w:tcW w:w="9212" w:type="dxa"/>
          </w:tcPr>
          <w:p w14:paraId="442A0D93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Bei welchen Patienten wird die Methode angewandt (Indikation)?</w:t>
            </w:r>
          </w:p>
        </w:tc>
      </w:tr>
      <w:tr w:rsidR="008E6675" w:rsidRPr="007F255B" w14:paraId="158F0243" w14:textId="77777777">
        <w:tc>
          <w:tcPr>
            <w:tcW w:w="9212" w:type="dxa"/>
          </w:tcPr>
          <w:p w14:paraId="3DACCA9E" w14:textId="43E188E2" w:rsidR="0080017E" w:rsidRPr="0080017E" w:rsidRDefault="0080017E" w:rsidP="008001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Camizestrant</w:t>
            </w:r>
            <w:r w:rsidRPr="0080017E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in Kombination mit einem CDK4/6-Inhibitor (Palbociclib, Ribociclib oder Abemaciclib) ist</w:t>
            </w:r>
          </w:p>
          <w:p w14:paraId="28E5D9E1" w14:textId="77777777" w:rsidR="0080017E" w:rsidRPr="0080017E" w:rsidRDefault="0080017E" w:rsidP="008001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0017E">
              <w:rPr>
                <w:rFonts w:ascii="Arial Narrow" w:hAnsi="Arial Narrow"/>
                <w:color w:val="000000" w:themeColor="text1"/>
                <w:sz w:val="22"/>
                <w:szCs w:val="22"/>
              </w:rPr>
              <w:t>indiziert zur Behandlung von erwachsenen Patienten mit ER-positivem, HER2-negativem, lokal</w:t>
            </w:r>
          </w:p>
          <w:p w14:paraId="14E45559" w14:textId="77777777" w:rsidR="0080017E" w:rsidRPr="0080017E" w:rsidRDefault="0080017E" w:rsidP="008001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0017E">
              <w:rPr>
                <w:rFonts w:ascii="Arial Narrow" w:hAnsi="Arial Narrow"/>
                <w:color w:val="000000" w:themeColor="text1"/>
                <w:sz w:val="22"/>
                <w:szCs w:val="22"/>
              </w:rPr>
              <w:t>fortgeschrittenem oder metastasiertem Mammakarzinom bei Nachweis einer ESR1-Mutation und ohne</w:t>
            </w:r>
          </w:p>
          <w:p w14:paraId="16AAEB2F" w14:textId="77777777" w:rsidR="0080017E" w:rsidRPr="0080017E" w:rsidRDefault="0080017E" w:rsidP="0080017E">
            <w:pPr>
              <w:rPr>
                <w:rFonts w:ascii="Arial Narrow" w:hAnsi="Arial Narrow"/>
                <w:color w:val="000000" w:themeColor="text1"/>
                <w:sz w:val="22"/>
                <w:szCs w:val="22"/>
              </w:rPr>
            </w:pPr>
            <w:r w:rsidRPr="0080017E">
              <w:rPr>
                <w:rFonts w:ascii="Arial Narrow" w:hAnsi="Arial Narrow"/>
                <w:color w:val="000000" w:themeColor="text1"/>
                <w:sz w:val="22"/>
                <w:szCs w:val="22"/>
              </w:rPr>
              <w:t>Krankheitsprogression während einer endokrinen Erstlinientherapie in Kombination mit einem</w:t>
            </w:r>
          </w:p>
          <w:p w14:paraId="606B75B1" w14:textId="2851C610" w:rsidR="008E6675" w:rsidRPr="007F255B" w:rsidRDefault="0080017E" w:rsidP="0080017E">
            <w:pPr>
              <w:rPr>
                <w:rFonts w:ascii="Arial Narrow" w:hAnsi="Arial Narrow"/>
                <w:sz w:val="22"/>
                <w:szCs w:val="22"/>
              </w:rPr>
            </w:pPr>
            <w:r w:rsidRPr="0080017E">
              <w:rPr>
                <w:rFonts w:ascii="Arial Narrow" w:hAnsi="Arial Narrow"/>
                <w:color w:val="000000" w:themeColor="text1"/>
                <w:sz w:val="22"/>
                <w:szCs w:val="22"/>
              </w:rPr>
              <w:t>CDK4/6-Inhibitor.</w:t>
            </w:r>
            <w:r w:rsidR="002C1936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</w:t>
            </w:r>
            <w:r w:rsidR="002C1936" w:rsidRPr="002C1936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Bei prä- oder perimenopausalen Frauen sowie bei Männern ist </w:t>
            </w:r>
            <w:r w:rsidR="00067001">
              <w:rPr>
                <w:rFonts w:ascii="Arial Narrow" w:hAnsi="Arial Narrow"/>
                <w:color w:val="000000" w:themeColor="text1"/>
                <w:sz w:val="22"/>
                <w:szCs w:val="22"/>
              </w:rPr>
              <w:t>Camizestrant</w:t>
            </w:r>
            <w:r w:rsidR="002C1936" w:rsidRPr="002C1936">
              <w:rPr>
                <w:rFonts w:ascii="Arial Narrow" w:hAnsi="Arial Narrow"/>
                <w:color w:val="000000" w:themeColor="text1"/>
                <w:sz w:val="22"/>
                <w:szCs w:val="22"/>
              </w:rPr>
              <w:t xml:space="preserve"> plus ein CDK4/6-Inhibitor mit einem Luteinisierungshormon-Releasinghormon(LHRH)-Agonisten oder -Antagonisten zu kombinieren.</w:t>
            </w:r>
          </w:p>
        </w:tc>
      </w:tr>
    </w:tbl>
    <w:p w14:paraId="2A567A9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544A3AED" w14:textId="77777777">
        <w:trPr>
          <w:trHeight w:val="234"/>
        </w:trPr>
        <w:tc>
          <w:tcPr>
            <w:tcW w:w="9212" w:type="dxa"/>
          </w:tcPr>
          <w:p w14:paraId="52A9B9D0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Welche bestehende Methode wird durch die neue Methode abgelöst oder ergänzt?</w:t>
            </w:r>
          </w:p>
        </w:tc>
      </w:tr>
      <w:tr w:rsidR="008E6675" w:rsidRPr="007F255B" w14:paraId="6B0057FA" w14:textId="77777777">
        <w:tc>
          <w:tcPr>
            <w:tcW w:w="9212" w:type="dxa"/>
          </w:tcPr>
          <w:p w14:paraId="3EC3722F" w14:textId="5632300D" w:rsidR="00853337" w:rsidRPr="00CB794D" w:rsidRDefault="00BE1AC5" w:rsidP="008C1686">
            <w:pPr>
              <w:rPr>
                <w:rFonts w:ascii="Arial Narrow" w:hAnsi="Arial Narrow"/>
                <w:bCs/>
                <w:color w:val="000000" w:themeColor="text1"/>
                <w:sz w:val="22"/>
              </w:rPr>
            </w:pPr>
            <w:r w:rsidRPr="00BE1AC5">
              <w:rPr>
                <w:rFonts w:ascii="Arial Narrow" w:hAnsi="Arial Narrow"/>
                <w:bCs/>
                <w:color w:val="000000" w:themeColor="text1"/>
                <w:sz w:val="22"/>
              </w:rPr>
              <w:t xml:space="preserve">Camizestrant </w:t>
            </w:r>
            <w:r w:rsidR="008912AD">
              <w:rPr>
                <w:rFonts w:ascii="Arial Narrow" w:hAnsi="Arial Narrow"/>
                <w:bCs/>
                <w:color w:val="000000" w:themeColor="text1"/>
                <w:sz w:val="22"/>
              </w:rPr>
              <w:t>erweitert</w:t>
            </w:r>
            <w:r w:rsidR="008912AD" w:rsidRPr="00BE1AC5">
              <w:rPr>
                <w:rFonts w:ascii="Arial Narrow" w:hAnsi="Arial Narrow"/>
                <w:bCs/>
                <w:color w:val="000000" w:themeColor="text1"/>
                <w:sz w:val="22"/>
              </w:rPr>
              <w:t xml:space="preserve"> </w:t>
            </w:r>
            <w:r w:rsidRPr="00BE1AC5">
              <w:rPr>
                <w:rFonts w:ascii="Arial Narrow" w:hAnsi="Arial Narrow"/>
                <w:bCs/>
                <w:color w:val="000000" w:themeColor="text1"/>
                <w:sz w:val="22"/>
              </w:rPr>
              <w:t xml:space="preserve">die vorhandenen Therapieoptionen </w:t>
            </w:r>
            <w:r w:rsidR="004901ED">
              <w:rPr>
                <w:rFonts w:ascii="Arial Narrow" w:hAnsi="Arial Narrow"/>
                <w:bCs/>
                <w:color w:val="000000" w:themeColor="text1"/>
                <w:sz w:val="22"/>
              </w:rPr>
              <w:t xml:space="preserve">in der Erstlinientherapie </w:t>
            </w:r>
            <w:r w:rsidRPr="00BE1AC5">
              <w:rPr>
                <w:rFonts w:ascii="Arial Narrow" w:hAnsi="Arial Narrow"/>
                <w:bCs/>
                <w:color w:val="000000" w:themeColor="text1"/>
                <w:sz w:val="22"/>
              </w:rPr>
              <w:t xml:space="preserve">beim ER-positiven, HER2-negativen, lokal fortgeschrittenen oder metastasierten Mammakarzinom; eine bestehende Methode wird nicht abgelöst. </w:t>
            </w:r>
            <w:r w:rsidR="00044E86" w:rsidRPr="00044E86">
              <w:rPr>
                <w:rFonts w:ascii="Arial Narrow" w:hAnsi="Arial Narrow"/>
                <w:bCs/>
                <w:color w:val="000000" w:themeColor="text1"/>
                <w:sz w:val="22"/>
              </w:rPr>
              <w:t>ESR1-Mutationen entstehen unter laufender endokriner Therapie und sind ein etablierter Resistenzmechanismus gegenüber Aromatasehemmern</w:t>
            </w:r>
            <w:r w:rsidR="00044E86">
              <w:rPr>
                <w:rFonts w:ascii="Arial Narrow" w:hAnsi="Arial Narrow"/>
                <w:bCs/>
                <w:color w:val="000000" w:themeColor="text1"/>
                <w:sz w:val="22"/>
              </w:rPr>
              <w:t xml:space="preserve">. </w:t>
            </w:r>
            <w:r w:rsidR="00044E86" w:rsidRPr="00044E86">
              <w:rPr>
                <w:rFonts w:ascii="Arial Narrow" w:hAnsi="Arial Narrow"/>
                <w:bCs/>
                <w:color w:val="000000" w:themeColor="text1"/>
                <w:sz w:val="22"/>
              </w:rPr>
              <w:t>Bei Nachweis einer ESR1-Mutation unter laufender Erstlinientherapie ersetzt Camizestrant daher</w:t>
            </w:r>
            <w:r w:rsidR="005D14AB" w:rsidRPr="005D14AB">
              <w:rPr>
                <w:rFonts w:ascii="Arial Narrow" w:hAnsi="Arial Narrow"/>
                <w:bCs/>
                <w:color w:val="000000" w:themeColor="text1"/>
                <w:sz w:val="22"/>
              </w:rPr>
              <w:t xml:space="preserve"> den Aromatasehemmer;</w:t>
            </w:r>
            <w:r w:rsidRPr="00BE1AC5">
              <w:rPr>
                <w:rFonts w:ascii="Arial Narrow" w:hAnsi="Arial Narrow"/>
                <w:bCs/>
                <w:color w:val="000000" w:themeColor="text1"/>
                <w:sz w:val="22"/>
              </w:rPr>
              <w:t xml:space="preserve"> der CDK4/6-Inhibitor wird unverändert fortgeführt.</w:t>
            </w:r>
            <w:r w:rsidR="002121FF">
              <w:rPr>
                <w:rFonts w:ascii="Arial Narrow" w:hAnsi="Arial Narrow"/>
                <w:bCs/>
                <w:color w:val="000000" w:themeColor="text1"/>
                <w:sz w:val="22"/>
              </w:rPr>
              <w:t xml:space="preserve"> Camizestrant ist die erste in der EU zugelassene Therapie für </w:t>
            </w:r>
            <w:r w:rsidR="004901ED">
              <w:rPr>
                <w:rFonts w:ascii="Arial Narrow" w:hAnsi="Arial Narrow"/>
                <w:bCs/>
                <w:color w:val="000000" w:themeColor="text1"/>
                <w:sz w:val="22"/>
              </w:rPr>
              <w:t>ein solches Therapieregime</w:t>
            </w:r>
            <w:r w:rsidR="002121FF">
              <w:rPr>
                <w:rFonts w:ascii="Arial Narrow" w:hAnsi="Arial Narrow"/>
                <w:bCs/>
                <w:color w:val="000000" w:themeColor="text1"/>
                <w:sz w:val="22"/>
              </w:rPr>
              <w:t>: Der Therapiewechsel erfolgt allein auf Basis des Biomarkernachweises</w:t>
            </w:r>
            <w:r w:rsidR="005D14AB" w:rsidRPr="005D14AB">
              <w:rPr>
                <w:rFonts w:ascii="Arial Narrow" w:hAnsi="Arial Narrow"/>
                <w:bCs/>
                <w:color w:val="000000" w:themeColor="text1"/>
                <w:sz w:val="22"/>
              </w:rPr>
              <w:t>,</w:t>
            </w:r>
            <w:r w:rsidR="002121FF">
              <w:rPr>
                <w:rFonts w:ascii="Arial Narrow" w:hAnsi="Arial Narrow"/>
                <w:bCs/>
                <w:color w:val="000000" w:themeColor="text1"/>
                <w:sz w:val="22"/>
              </w:rPr>
              <w:t xml:space="preserve"> nicht erst bei eingetretener </w:t>
            </w:r>
            <w:r w:rsidR="004901ED">
              <w:rPr>
                <w:rFonts w:ascii="Arial Narrow" w:hAnsi="Arial Narrow"/>
                <w:bCs/>
                <w:color w:val="000000" w:themeColor="text1"/>
                <w:sz w:val="22"/>
              </w:rPr>
              <w:t>Krankheitsp</w:t>
            </w:r>
            <w:r w:rsidR="002121FF">
              <w:rPr>
                <w:rFonts w:ascii="Arial Narrow" w:hAnsi="Arial Narrow"/>
                <w:bCs/>
                <w:color w:val="000000" w:themeColor="text1"/>
                <w:sz w:val="22"/>
              </w:rPr>
              <w:t>rogression.</w:t>
            </w:r>
            <w:r w:rsidRPr="00BE1AC5">
              <w:rPr>
                <w:rFonts w:ascii="Arial Narrow" w:hAnsi="Arial Narrow"/>
                <w:bCs/>
                <w:color w:val="000000" w:themeColor="text1"/>
                <w:sz w:val="22"/>
              </w:rPr>
              <w:t xml:space="preserve"> </w:t>
            </w:r>
          </w:p>
        </w:tc>
      </w:tr>
    </w:tbl>
    <w:p w14:paraId="073C0909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3CC85E94" w14:textId="77777777">
        <w:tc>
          <w:tcPr>
            <w:tcW w:w="9212" w:type="dxa"/>
          </w:tcPr>
          <w:p w14:paraId="25335173" w14:textId="77777777" w:rsidR="008E6675" w:rsidRPr="005638EB" w:rsidRDefault="008E6675" w:rsidP="00E92C57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Ist die Methode vollständig oder in Teilen neu und warum handelt es sich um eine neue Untersuchungs- und Behandlungsmethode?</w:t>
            </w:r>
          </w:p>
        </w:tc>
      </w:tr>
      <w:tr w:rsidR="008E6675" w:rsidRPr="005638EB" w14:paraId="402C1327" w14:textId="77777777">
        <w:tc>
          <w:tcPr>
            <w:tcW w:w="9212" w:type="dxa"/>
          </w:tcPr>
          <w:p w14:paraId="6B1FDB47" w14:textId="7BE344C8" w:rsidR="008E6675" w:rsidRPr="00DE681D" w:rsidRDefault="005D1992" w:rsidP="00C11458">
            <w:pPr>
              <w:rPr>
                <w:rFonts w:ascii="Arial Narrow" w:hAnsi="Arial Narrow"/>
                <w:color w:val="00B050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Es handelt sich um ein neues Medikament, das erst </w:t>
            </w:r>
            <w:r w:rsidR="00903261">
              <w:rPr>
                <w:rFonts w:ascii="Arial Narrow" w:hAnsi="Arial Narrow"/>
                <w:sz w:val="22"/>
                <w:szCs w:val="22"/>
              </w:rPr>
              <w:t>am 20.07.2026</w:t>
            </w:r>
            <w:r>
              <w:rPr>
                <w:rFonts w:ascii="Arial Narrow" w:hAnsi="Arial Narrow"/>
                <w:sz w:val="22"/>
                <w:szCs w:val="22"/>
              </w:rPr>
              <w:t xml:space="preserve"> in Europa zugelassen wurde. </w:t>
            </w:r>
          </w:p>
        </w:tc>
      </w:tr>
    </w:tbl>
    <w:p w14:paraId="75E7896B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DEA2055" w14:textId="77777777">
        <w:tc>
          <w:tcPr>
            <w:tcW w:w="9212" w:type="dxa"/>
          </w:tcPr>
          <w:p w14:paraId="4E8FCE4C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Welche Auswirkungen hat die Methode auf die Verweildauer im Krankenhaus?</w:t>
            </w:r>
          </w:p>
        </w:tc>
      </w:tr>
      <w:tr w:rsidR="008E6675" w:rsidRPr="005638EB" w14:paraId="5C15DE82" w14:textId="77777777">
        <w:trPr>
          <w:trHeight w:val="264"/>
        </w:trPr>
        <w:tc>
          <w:tcPr>
            <w:tcW w:w="9212" w:type="dxa"/>
          </w:tcPr>
          <w:p w14:paraId="19E75E35" w14:textId="21FFA20D" w:rsidR="00A530BE" w:rsidRPr="005638EB" w:rsidRDefault="008E6675" w:rsidP="005638EB">
            <w:pPr>
              <w:rPr>
                <w:rFonts w:ascii="Arial Narrow" w:hAnsi="Arial Narrow"/>
              </w:rPr>
            </w:pPr>
            <w:r w:rsidRPr="005638EB">
              <w:rPr>
                <w:rFonts w:ascii="Arial Narrow" w:hAnsi="Arial Narrow"/>
                <w:sz w:val="22"/>
              </w:rPr>
              <w:t>Zur Veränderung der Verweildauer im Krankenhaus können derzeit aufgrund fehlender Erfahrungen keine Aussagen gemacht werden.</w:t>
            </w:r>
          </w:p>
        </w:tc>
      </w:tr>
    </w:tbl>
    <w:p w14:paraId="4E061776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6BCFFEC8" w14:textId="77777777">
        <w:tc>
          <w:tcPr>
            <w:tcW w:w="9212" w:type="dxa"/>
          </w:tcPr>
          <w:p w14:paraId="5ABEFBD5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Wann wurde diese Methode in Deutschland eingeführt?</w:t>
            </w:r>
          </w:p>
        </w:tc>
      </w:tr>
      <w:tr w:rsidR="008E6675" w:rsidRPr="007F255B" w14:paraId="0DF8F781" w14:textId="77777777">
        <w:tc>
          <w:tcPr>
            <w:tcW w:w="9212" w:type="dxa"/>
          </w:tcPr>
          <w:p w14:paraId="256E27C8" w14:textId="5FAFBDBE" w:rsidR="00D14350" w:rsidRPr="00422874" w:rsidRDefault="002B298B" w:rsidP="00C112A6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Die Einführung in Deutschland wird </w:t>
            </w:r>
            <w:r w:rsidR="004260C2">
              <w:rPr>
                <w:rFonts w:ascii="Arial Narrow" w:hAnsi="Arial Narrow"/>
                <w:sz w:val="22"/>
              </w:rPr>
              <w:t>zwischen Q4 2026 und</w:t>
            </w:r>
            <w:r w:rsidR="00393D29">
              <w:rPr>
                <w:rFonts w:ascii="Arial Narrow" w:hAnsi="Arial Narrow"/>
                <w:sz w:val="22"/>
              </w:rPr>
              <w:t xml:space="preserve"> </w:t>
            </w:r>
            <w:r w:rsidR="004260C2">
              <w:rPr>
                <w:rFonts w:ascii="Arial Narrow" w:hAnsi="Arial Narrow"/>
                <w:sz w:val="22"/>
              </w:rPr>
              <w:t xml:space="preserve">Q1 2027 erwartet. </w:t>
            </w:r>
          </w:p>
        </w:tc>
      </w:tr>
    </w:tbl>
    <w:p w14:paraId="233BCD28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7DE956DB" w14:textId="77777777">
        <w:tc>
          <w:tcPr>
            <w:tcW w:w="9212" w:type="dxa"/>
          </w:tcPr>
          <w:p w14:paraId="483A4156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Bei Medikamenten: Wann wurde dieses Medikament zugelassen?</w:t>
            </w:r>
          </w:p>
        </w:tc>
      </w:tr>
      <w:tr w:rsidR="008E6675" w:rsidRPr="007F255B" w14:paraId="1264FF24" w14:textId="77777777">
        <w:tc>
          <w:tcPr>
            <w:tcW w:w="9212" w:type="dxa"/>
          </w:tcPr>
          <w:p w14:paraId="7BB60EDC" w14:textId="28BCA0A0" w:rsidR="00044597" w:rsidRPr="00C112A6" w:rsidRDefault="005A7342" w:rsidP="00C112A6">
            <w:pPr>
              <w:rPr>
                <w:rFonts w:ascii="Arial Narrow" w:hAnsi="Arial Narrow"/>
                <w:color w:val="00B050"/>
                <w:sz w:val="22"/>
              </w:rPr>
            </w:pPr>
            <w:r w:rsidRPr="005A7342">
              <w:rPr>
                <w:rFonts w:ascii="Arial Narrow" w:hAnsi="Arial Narrow"/>
                <w:color w:val="000000" w:themeColor="text1"/>
                <w:sz w:val="22"/>
              </w:rPr>
              <w:t>20.07.2026</w:t>
            </w:r>
          </w:p>
        </w:tc>
      </w:tr>
    </w:tbl>
    <w:p w14:paraId="479CCD3D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24374391" w14:textId="77777777">
        <w:tc>
          <w:tcPr>
            <w:tcW w:w="9212" w:type="dxa"/>
          </w:tcPr>
          <w:p w14:paraId="657A69BC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 xml:space="preserve">Wann wurde </w:t>
            </w:r>
            <w:r w:rsidR="002333FF">
              <w:rPr>
                <w:rFonts w:ascii="Arial Narrow" w:hAnsi="Arial Narrow"/>
                <w:b/>
                <w:sz w:val="22"/>
              </w:rPr>
              <w:t xml:space="preserve">bzw. wird </w:t>
            </w:r>
            <w:r w:rsidRPr="005638EB">
              <w:rPr>
                <w:rFonts w:ascii="Arial Narrow" w:hAnsi="Arial Narrow"/>
                <w:b/>
                <w:sz w:val="22"/>
              </w:rPr>
              <w:t>die Methode in Ihrem Krankenhaus eingeführt?</w:t>
            </w:r>
          </w:p>
        </w:tc>
      </w:tr>
      <w:tr w:rsidR="008E6675" w:rsidRPr="005638EB" w14:paraId="4BC61AB6" w14:textId="77777777">
        <w:tc>
          <w:tcPr>
            <w:tcW w:w="9212" w:type="dxa"/>
          </w:tcPr>
          <w:p w14:paraId="7727C539" w14:textId="77777777" w:rsidR="008E6675" w:rsidRPr="005638EB" w:rsidRDefault="00983554" w:rsidP="005638EB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</w:tbl>
    <w:p w14:paraId="09FB8D7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3D6635CC" w14:textId="77777777">
        <w:tc>
          <w:tcPr>
            <w:tcW w:w="9212" w:type="dxa"/>
          </w:tcPr>
          <w:p w14:paraId="126EBD70" w14:textId="77777777" w:rsidR="008E6675" w:rsidRPr="005638EB" w:rsidRDefault="008E6675" w:rsidP="005638EB">
            <w:pPr>
              <w:rPr>
                <w:rFonts w:ascii="Arial Narrow" w:hAnsi="Arial Narrow"/>
                <w:b/>
              </w:rPr>
            </w:pPr>
            <w:r w:rsidRPr="005638EB">
              <w:rPr>
                <w:rFonts w:ascii="Arial Narrow" w:hAnsi="Arial Narrow"/>
                <w:b/>
                <w:sz w:val="22"/>
              </w:rPr>
              <w:t>In wie vielen Kliniken wird diese Methode derzeit eingesetzt (Schätzung)?</w:t>
            </w:r>
          </w:p>
        </w:tc>
      </w:tr>
      <w:tr w:rsidR="008E6675" w:rsidRPr="005638EB" w14:paraId="4C00526F" w14:textId="77777777">
        <w:tc>
          <w:tcPr>
            <w:tcW w:w="9212" w:type="dxa"/>
          </w:tcPr>
          <w:p w14:paraId="21DD9094" w14:textId="017CA2F2" w:rsidR="00C112A6" w:rsidRPr="005638EB" w:rsidRDefault="000C5259" w:rsidP="00C112A6">
            <w:pPr>
              <w:rPr>
                <w:rFonts w:ascii="Arial Narrow" w:hAnsi="Arial Narrow"/>
              </w:rPr>
            </w:pPr>
            <w:r w:rsidRPr="0057048B">
              <w:rPr>
                <w:rFonts w:ascii="Arial Narrow" w:hAnsi="Arial Narrow"/>
                <w:color w:val="000000" w:themeColor="text1"/>
                <w:sz w:val="22"/>
              </w:rPr>
              <w:t>Unbekannt</w:t>
            </w:r>
            <w:r w:rsidR="0057048B" w:rsidRPr="0057048B">
              <w:rPr>
                <w:rFonts w:ascii="Arial Narrow" w:hAnsi="Arial Narrow"/>
                <w:color w:val="000000" w:themeColor="text1"/>
                <w:sz w:val="22"/>
              </w:rPr>
              <w:t>.</w:t>
            </w:r>
          </w:p>
        </w:tc>
      </w:tr>
    </w:tbl>
    <w:p w14:paraId="43674FE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2BCF6BA3" w14:textId="77777777">
        <w:tc>
          <w:tcPr>
            <w:tcW w:w="9212" w:type="dxa"/>
          </w:tcPr>
          <w:p w14:paraId="6D713A1D" w14:textId="0D5B1E11" w:rsidR="008E6675" w:rsidRPr="005638EB" w:rsidRDefault="008E6675" w:rsidP="00285AE4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Wie viele Patienten wur</w:t>
            </w:r>
            <w:r w:rsidR="000953D2">
              <w:rPr>
                <w:rFonts w:ascii="Arial Narrow" w:hAnsi="Arial Narrow"/>
                <w:b/>
                <w:sz w:val="22"/>
              </w:rPr>
              <w:t>den in Ihrem Krankenhaus in 202</w:t>
            </w:r>
            <w:r w:rsidR="00BC47BA">
              <w:rPr>
                <w:rFonts w:ascii="Arial Narrow" w:hAnsi="Arial Narrow"/>
                <w:b/>
                <w:sz w:val="22"/>
              </w:rPr>
              <w:t>5</w:t>
            </w:r>
            <w:r w:rsidR="000953D2">
              <w:rPr>
                <w:rFonts w:ascii="Arial Narrow" w:hAnsi="Arial Narrow"/>
                <w:b/>
                <w:sz w:val="22"/>
              </w:rPr>
              <w:t xml:space="preserve"> oder in 202</w:t>
            </w:r>
            <w:r w:rsidR="003E21E9">
              <w:rPr>
                <w:rFonts w:ascii="Arial Narrow" w:hAnsi="Arial Narrow"/>
                <w:b/>
                <w:sz w:val="22"/>
              </w:rPr>
              <w:t>6</w:t>
            </w:r>
            <w:r w:rsidRPr="008C1686">
              <w:rPr>
                <w:rFonts w:ascii="Arial Narrow" w:hAnsi="Arial Narrow"/>
                <w:b/>
                <w:sz w:val="22"/>
              </w:rPr>
              <w:t xml:space="preserve"> mit dieser Methode behandelt?</w:t>
            </w:r>
          </w:p>
        </w:tc>
      </w:tr>
      <w:tr w:rsidR="008E6675" w:rsidRPr="00AB10BF" w14:paraId="5CCFBAD3" w14:textId="77777777">
        <w:tc>
          <w:tcPr>
            <w:tcW w:w="9212" w:type="dxa"/>
          </w:tcPr>
          <w:p w14:paraId="4F6124DB" w14:textId="7B9D37EE" w:rsidR="008E6675" w:rsidRPr="00AB10BF" w:rsidRDefault="008E6675" w:rsidP="00285AE4">
            <w:pPr>
              <w:rPr>
                <w:rFonts w:ascii="Arial Narrow" w:hAnsi="Arial Narrow"/>
                <w:sz w:val="22"/>
              </w:rPr>
            </w:pPr>
            <w:r w:rsidRPr="00AB10BF">
              <w:rPr>
                <w:rFonts w:ascii="Arial Narrow" w:hAnsi="Arial Narrow"/>
                <w:sz w:val="22"/>
              </w:rPr>
              <w:t xml:space="preserve">In </w:t>
            </w:r>
            <w:r w:rsidR="000953D2" w:rsidRPr="00AB10BF">
              <w:rPr>
                <w:rFonts w:ascii="Arial Narrow" w:hAnsi="Arial Narrow"/>
                <w:sz w:val="22"/>
              </w:rPr>
              <w:t>202</w:t>
            </w:r>
            <w:r w:rsidR="001073E2">
              <w:rPr>
                <w:rFonts w:ascii="Arial Narrow" w:hAnsi="Arial Narrow"/>
                <w:sz w:val="22"/>
              </w:rPr>
              <w:t>5</w:t>
            </w:r>
          </w:p>
        </w:tc>
      </w:tr>
      <w:tr w:rsidR="00983554" w:rsidRPr="005638EB" w14:paraId="1992E6A2" w14:textId="77777777">
        <w:tc>
          <w:tcPr>
            <w:tcW w:w="9212" w:type="dxa"/>
          </w:tcPr>
          <w:p w14:paraId="283F259E" w14:textId="77777777" w:rsidR="00983554" w:rsidRPr="005638EB" w:rsidRDefault="00983554" w:rsidP="0036178C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  <w:tr w:rsidR="008E6675" w:rsidRPr="00AB10BF" w14:paraId="175E4977" w14:textId="77777777">
        <w:tc>
          <w:tcPr>
            <w:tcW w:w="9212" w:type="dxa"/>
          </w:tcPr>
          <w:p w14:paraId="33A68C3A" w14:textId="5977A9C8" w:rsidR="008E6675" w:rsidRPr="00AB10BF" w:rsidRDefault="008E6675" w:rsidP="00285AE4">
            <w:pPr>
              <w:rPr>
                <w:rFonts w:ascii="Arial Narrow" w:hAnsi="Arial Narrow"/>
                <w:sz w:val="22"/>
              </w:rPr>
            </w:pPr>
            <w:r w:rsidRPr="00AB10BF">
              <w:rPr>
                <w:rFonts w:ascii="Arial Narrow" w:hAnsi="Arial Narrow"/>
                <w:sz w:val="22"/>
              </w:rPr>
              <w:lastRenderedPageBreak/>
              <w:t xml:space="preserve">In </w:t>
            </w:r>
            <w:r w:rsidR="000953D2" w:rsidRPr="00AB10BF">
              <w:rPr>
                <w:rFonts w:ascii="Arial Narrow" w:hAnsi="Arial Narrow"/>
                <w:sz w:val="22"/>
              </w:rPr>
              <w:t>202</w:t>
            </w:r>
            <w:r w:rsidR="00970724">
              <w:rPr>
                <w:rFonts w:ascii="Arial Narrow" w:hAnsi="Arial Narrow"/>
                <w:sz w:val="22"/>
              </w:rPr>
              <w:t>6</w:t>
            </w:r>
          </w:p>
        </w:tc>
      </w:tr>
      <w:tr w:rsidR="00983554" w:rsidRPr="005638EB" w14:paraId="6BABCFC8" w14:textId="77777777">
        <w:tc>
          <w:tcPr>
            <w:tcW w:w="9212" w:type="dxa"/>
          </w:tcPr>
          <w:p w14:paraId="17351D25" w14:textId="77777777" w:rsidR="00983554" w:rsidRPr="005638EB" w:rsidRDefault="00983554" w:rsidP="0036178C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</w:tbl>
    <w:p w14:paraId="394F2677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49B8805A" w14:textId="77777777">
        <w:tc>
          <w:tcPr>
            <w:tcW w:w="9212" w:type="dxa"/>
          </w:tcPr>
          <w:p w14:paraId="2C8371FB" w14:textId="5EB95577" w:rsidR="008E6675" w:rsidRPr="005638EB" w:rsidRDefault="008E6675" w:rsidP="00285AE4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Wieviele P</w:t>
            </w:r>
            <w:r w:rsidR="00A530BE">
              <w:rPr>
                <w:rFonts w:ascii="Arial Narrow" w:hAnsi="Arial Narrow"/>
                <w:b/>
                <w:sz w:val="22"/>
              </w:rPr>
              <w:t>atienten planen Sie im Jahr 20</w:t>
            </w:r>
            <w:r w:rsidR="000953D2">
              <w:rPr>
                <w:rFonts w:ascii="Arial Narrow" w:hAnsi="Arial Narrow"/>
                <w:b/>
                <w:sz w:val="22"/>
              </w:rPr>
              <w:t>2</w:t>
            </w:r>
            <w:r w:rsidR="00F75470">
              <w:rPr>
                <w:rFonts w:ascii="Arial Narrow" w:hAnsi="Arial Narrow"/>
                <w:b/>
                <w:sz w:val="22"/>
              </w:rPr>
              <w:t>7</w:t>
            </w:r>
            <w:r w:rsidRPr="008C1686">
              <w:rPr>
                <w:rFonts w:ascii="Arial Narrow" w:hAnsi="Arial Narrow"/>
                <w:b/>
                <w:sz w:val="22"/>
              </w:rPr>
              <w:t xml:space="preserve"> mit dieser Methode zu behandeln?</w:t>
            </w:r>
          </w:p>
        </w:tc>
      </w:tr>
      <w:tr w:rsidR="00983554" w:rsidRPr="005638EB" w14:paraId="742C5EF0" w14:textId="77777777">
        <w:tc>
          <w:tcPr>
            <w:tcW w:w="9212" w:type="dxa"/>
          </w:tcPr>
          <w:p w14:paraId="4620D230" w14:textId="77777777" w:rsidR="00983554" w:rsidRPr="005638EB" w:rsidRDefault="00983554" w:rsidP="0036178C">
            <w:pPr>
              <w:rPr>
                <w:rFonts w:ascii="Arial Narrow" w:hAnsi="Arial Narrow"/>
              </w:rPr>
            </w:pPr>
            <w:r w:rsidRPr="00983554">
              <w:rPr>
                <w:rFonts w:ascii="Arial Narrow" w:hAnsi="Arial Narrow"/>
                <w:sz w:val="22"/>
                <w:highlight w:val="yellow"/>
              </w:rPr>
              <w:t>[bitte ergänzen]</w:t>
            </w:r>
          </w:p>
        </w:tc>
      </w:tr>
    </w:tbl>
    <w:p w14:paraId="654325C8" w14:textId="77777777" w:rsidR="008E6675" w:rsidRPr="005638EB" w:rsidRDefault="008E6675" w:rsidP="005638EB">
      <w:pPr>
        <w:rPr>
          <w:rFonts w:ascii="Arial Narrow" w:hAnsi="Arial Narrow"/>
          <w:sz w:val="22"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04A6A805" w14:textId="77777777">
        <w:tc>
          <w:tcPr>
            <w:tcW w:w="9212" w:type="dxa"/>
          </w:tcPr>
          <w:p w14:paraId="5C0D4897" w14:textId="77777777" w:rsidR="008E6675" w:rsidRPr="005638EB" w:rsidRDefault="008E6675" w:rsidP="005638EB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Entstehen durch die neue Methode Mehrkosten gegenüber dem bisher üblichen Verfahren? Wenn ja, wodurch? In welcher Höhe (möglichst aufgetrennt nach Personal- und Sachkosten)?</w:t>
            </w:r>
          </w:p>
        </w:tc>
      </w:tr>
      <w:tr w:rsidR="008E6675" w:rsidRPr="005638EB" w14:paraId="169DFC57" w14:textId="77777777">
        <w:tc>
          <w:tcPr>
            <w:tcW w:w="9212" w:type="dxa"/>
          </w:tcPr>
          <w:p w14:paraId="751D12DE" w14:textId="77777777" w:rsidR="000953D2" w:rsidRDefault="008E6675" w:rsidP="005638EB">
            <w:pPr>
              <w:rPr>
                <w:rFonts w:ascii="Arial Narrow" w:hAnsi="Arial Narrow"/>
                <w:sz w:val="22"/>
              </w:rPr>
            </w:pPr>
            <w:r w:rsidRPr="005638EB">
              <w:rPr>
                <w:rFonts w:ascii="Arial Narrow" w:hAnsi="Arial Narrow"/>
                <w:sz w:val="22"/>
              </w:rPr>
              <w:t xml:space="preserve">Sachkosten: </w:t>
            </w:r>
          </w:p>
          <w:p w14:paraId="50083A4C" w14:textId="0192D46A" w:rsidR="00CE487C" w:rsidRPr="003C65FA" w:rsidRDefault="00CE487C" w:rsidP="00A530BE">
            <w:pPr>
              <w:rPr>
                <w:rFonts w:ascii="Arial Narrow" w:hAnsi="Arial Narrow"/>
                <w:color w:val="000000" w:themeColor="text1"/>
                <w:sz w:val="22"/>
              </w:rPr>
            </w:pPr>
            <w:r w:rsidRPr="003C65FA">
              <w:rPr>
                <w:rFonts w:ascii="Arial Narrow" w:hAnsi="Arial Narrow"/>
                <w:color w:val="000000" w:themeColor="text1"/>
                <w:sz w:val="22"/>
              </w:rPr>
              <w:t xml:space="preserve">Da </w:t>
            </w:r>
            <w:r w:rsidR="00186C73" w:rsidRPr="00186C73">
              <w:rPr>
                <w:rFonts w:ascii="Arial Narrow" w:hAnsi="Arial Narrow"/>
                <w:color w:val="000000" w:themeColor="text1"/>
                <w:sz w:val="22"/>
              </w:rPr>
              <w:t>Camizestrant noch nicht in der Lauer-Taxe abgebildet ist, wird für die Sachkostenberechnung eine Preisspanne auf Basis der oralen Vergleichstherapien Inavolisib und Imlunestrant</w:t>
            </w:r>
            <w:r w:rsidR="00745A6B" w:rsidRPr="003C65FA">
              <w:rPr>
                <w:rFonts w:ascii="Arial Narrow" w:hAnsi="Arial Narrow"/>
                <w:color w:val="000000" w:themeColor="text1"/>
                <w:sz w:val="22"/>
              </w:rPr>
              <w:t xml:space="preserve"> herangezogen.</w:t>
            </w:r>
          </w:p>
          <w:p w14:paraId="27C504BA" w14:textId="77777777" w:rsidR="00924682" w:rsidRDefault="00924682" w:rsidP="00A530BE">
            <w:pPr>
              <w:rPr>
                <w:rFonts w:ascii="Arial Narrow" w:hAnsi="Arial Narrow"/>
                <w:sz w:val="22"/>
              </w:rPr>
            </w:pPr>
          </w:p>
          <w:p w14:paraId="46E11182" w14:textId="7F79C17F" w:rsidR="0078272D" w:rsidRPr="00541B64" w:rsidRDefault="000953D2" w:rsidP="00A530BE">
            <w:pPr>
              <w:rPr>
                <w:rFonts w:ascii="Arial Narrow" w:hAnsi="Arial Narrow"/>
                <w:sz w:val="22"/>
              </w:rPr>
            </w:pPr>
            <w:r w:rsidRPr="00541B64">
              <w:rPr>
                <w:rFonts w:ascii="Arial Narrow" w:hAnsi="Arial Narrow"/>
                <w:sz w:val="22"/>
              </w:rPr>
              <w:t xml:space="preserve">Die Dosierung </w:t>
            </w:r>
            <w:r w:rsidR="00BA7DB8" w:rsidRPr="00BA7DB8">
              <w:rPr>
                <w:rFonts w:ascii="Arial Narrow" w:hAnsi="Arial Narrow"/>
                <w:sz w:val="22"/>
              </w:rPr>
              <w:t>von Camizestrant beträgt 75</w:t>
            </w:r>
            <w:r w:rsidR="0078272D" w:rsidRPr="00541B64">
              <w:rPr>
                <w:rFonts w:ascii="Arial Narrow" w:hAnsi="Arial Narrow"/>
                <w:sz w:val="22"/>
              </w:rPr>
              <w:t xml:space="preserve"> mg pro Tag</w:t>
            </w:r>
            <w:r w:rsidRPr="00541B64">
              <w:rPr>
                <w:rFonts w:ascii="Arial Narrow" w:hAnsi="Arial Narrow"/>
                <w:sz w:val="22"/>
              </w:rPr>
              <w:t xml:space="preserve">, entsprechend </w:t>
            </w:r>
            <w:r w:rsidR="00C377ED">
              <w:rPr>
                <w:rFonts w:ascii="Arial Narrow" w:hAnsi="Arial Narrow"/>
                <w:sz w:val="22"/>
              </w:rPr>
              <w:t>einer</w:t>
            </w:r>
            <w:r w:rsidRPr="00541B64">
              <w:rPr>
                <w:rFonts w:ascii="Arial Narrow" w:hAnsi="Arial Narrow"/>
                <w:sz w:val="22"/>
              </w:rPr>
              <w:t xml:space="preserve"> Tablette</w:t>
            </w:r>
            <w:r w:rsidR="00C377ED">
              <w:rPr>
                <w:rFonts w:ascii="Arial Narrow" w:hAnsi="Arial Narrow"/>
                <w:sz w:val="22"/>
              </w:rPr>
              <w:t xml:space="preserve"> täglich.</w:t>
            </w:r>
          </w:p>
          <w:p w14:paraId="436977CD" w14:textId="33572443" w:rsidR="000953D2" w:rsidRPr="00541B64" w:rsidRDefault="000953D2" w:rsidP="000953D2">
            <w:pPr>
              <w:rPr>
                <w:rFonts w:ascii="Arial Narrow" w:hAnsi="Arial Narrow"/>
                <w:sz w:val="22"/>
              </w:rPr>
            </w:pPr>
            <w:r w:rsidRPr="003A5804">
              <w:rPr>
                <w:rFonts w:ascii="Arial Narrow" w:hAnsi="Arial Narrow"/>
                <w:sz w:val="22"/>
              </w:rPr>
              <w:t xml:space="preserve">Der Preis pro Packung </w:t>
            </w:r>
            <w:r w:rsidR="00BA7DB8" w:rsidRPr="003A5804">
              <w:rPr>
                <w:rFonts w:ascii="Arial Narrow" w:hAnsi="Arial Narrow"/>
                <w:sz w:val="22"/>
              </w:rPr>
              <w:t xml:space="preserve">mit 28 Tabletten liegt bei den Vergleichstherapien zwischen 15.459,35 € (Inavolisib 9 mg) und 18.502,76 € (Imlunestrant 200 mg) (AVP inkl. MwSt., </w:t>
            </w:r>
            <w:r w:rsidR="003A5804" w:rsidRPr="00725247">
              <w:rPr>
                <w:rFonts w:ascii="Arial Narrow" w:hAnsi="Arial Narrow"/>
                <w:sz w:val="22"/>
              </w:rPr>
              <w:t xml:space="preserve">nach Lauer Taxe, </w:t>
            </w:r>
            <w:r w:rsidR="00BA7DB8" w:rsidRPr="003A5804">
              <w:rPr>
                <w:rFonts w:ascii="Arial Narrow" w:hAnsi="Arial Narrow"/>
                <w:sz w:val="22"/>
              </w:rPr>
              <w:t xml:space="preserve">Preis Stand </w:t>
            </w:r>
            <w:r w:rsidR="00A36780" w:rsidRPr="00725247">
              <w:rPr>
                <w:rFonts w:ascii="Arial Narrow" w:hAnsi="Arial Narrow"/>
                <w:sz w:val="22"/>
              </w:rPr>
              <w:t>15</w:t>
            </w:r>
            <w:r w:rsidR="00BA7DB8" w:rsidRPr="003A5804">
              <w:rPr>
                <w:rFonts w:ascii="Arial Narrow" w:hAnsi="Arial Narrow"/>
                <w:sz w:val="22"/>
              </w:rPr>
              <w:t>.08.2026).</w:t>
            </w:r>
          </w:p>
          <w:p w14:paraId="5827DC30" w14:textId="77777777" w:rsidR="00FD7955" w:rsidRDefault="00FD7955" w:rsidP="000953D2">
            <w:pPr>
              <w:rPr>
                <w:rFonts w:ascii="Arial Narrow" w:hAnsi="Arial Narrow"/>
                <w:sz w:val="22"/>
              </w:rPr>
            </w:pPr>
          </w:p>
          <w:p w14:paraId="4025C991" w14:textId="250B2960" w:rsidR="001774E7" w:rsidRDefault="001774E7" w:rsidP="000953D2">
            <w:pPr>
              <w:rPr>
                <w:rFonts w:ascii="Arial Narrow" w:hAnsi="Arial Narrow"/>
                <w:sz w:val="22"/>
              </w:rPr>
            </w:pPr>
            <w:r w:rsidRPr="00541B64">
              <w:rPr>
                <w:rFonts w:ascii="Arial Narrow" w:hAnsi="Arial Narrow"/>
                <w:sz w:val="22"/>
              </w:rPr>
              <w:t xml:space="preserve">Daraus ergeben sich Tagestherapiekosten von </w:t>
            </w:r>
            <w:r w:rsidR="00BA7DB8" w:rsidRPr="00BA7DB8">
              <w:rPr>
                <w:rFonts w:ascii="Arial Narrow" w:hAnsi="Arial Narrow"/>
                <w:sz w:val="22"/>
              </w:rPr>
              <w:t>55</w:t>
            </w:r>
            <w:r w:rsidR="00292D67">
              <w:rPr>
                <w:rFonts w:ascii="Arial Narrow" w:hAnsi="Arial Narrow"/>
                <w:sz w:val="22"/>
              </w:rPr>
              <w:t>2</w:t>
            </w:r>
            <w:r w:rsidR="00BA7DB8" w:rsidRPr="00BA7DB8">
              <w:rPr>
                <w:rFonts w:ascii="Arial Narrow" w:hAnsi="Arial Narrow"/>
                <w:sz w:val="22"/>
              </w:rPr>
              <w:t>,</w:t>
            </w:r>
            <w:r w:rsidR="00292D67">
              <w:rPr>
                <w:rFonts w:ascii="Arial Narrow" w:hAnsi="Arial Narrow"/>
                <w:sz w:val="22"/>
              </w:rPr>
              <w:t>12</w:t>
            </w:r>
            <w:r w:rsidR="00BA7DB8" w:rsidRPr="00BA7DB8">
              <w:rPr>
                <w:rFonts w:ascii="Arial Narrow" w:hAnsi="Arial Narrow"/>
                <w:sz w:val="22"/>
              </w:rPr>
              <w:t xml:space="preserve"> € bis 660,81 € bzw. 3.86</w:t>
            </w:r>
            <w:r w:rsidR="007A00FD">
              <w:rPr>
                <w:rFonts w:ascii="Arial Narrow" w:hAnsi="Arial Narrow"/>
                <w:sz w:val="22"/>
              </w:rPr>
              <w:t>4</w:t>
            </w:r>
            <w:r w:rsidR="00BA7DB8" w:rsidRPr="00BA7DB8">
              <w:rPr>
                <w:rFonts w:ascii="Arial Narrow" w:hAnsi="Arial Narrow"/>
                <w:sz w:val="22"/>
              </w:rPr>
              <w:t>,84 € bis 4.625,6</w:t>
            </w:r>
            <w:r w:rsidR="00EB3182">
              <w:rPr>
                <w:rFonts w:ascii="Arial Narrow" w:hAnsi="Arial Narrow"/>
                <w:sz w:val="22"/>
              </w:rPr>
              <w:t>7</w:t>
            </w:r>
            <w:r w:rsidR="004F0DBC">
              <w:rPr>
                <w:rFonts w:ascii="Arial Narrow" w:hAnsi="Arial Narrow"/>
                <w:sz w:val="22"/>
              </w:rPr>
              <w:t xml:space="preserve"> </w:t>
            </w:r>
            <w:r w:rsidRPr="00541B64">
              <w:rPr>
                <w:rFonts w:ascii="Arial Narrow" w:hAnsi="Arial Narrow"/>
                <w:sz w:val="22"/>
              </w:rPr>
              <w:t xml:space="preserve">€ bei einer </w:t>
            </w:r>
            <w:r w:rsidR="00CB7E53">
              <w:rPr>
                <w:rFonts w:ascii="Arial Narrow" w:hAnsi="Arial Narrow"/>
                <w:sz w:val="22"/>
              </w:rPr>
              <w:t>angenommenen</w:t>
            </w:r>
            <w:r w:rsidRPr="00541B64">
              <w:rPr>
                <w:rFonts w:ascii="Arial Narrow" w:hAnsi="Arial Narrow"/>
                <w:sz w:val="22"/>
              </w:rPr>
              <w:t xml:space="preserve"> Verweildauer von 7 Tagen.</w:t>
            </w:r>
          </w:p>
          <w:p w14:paraId="04B28E34" w14:textId="77777777" w:rsidR="0078272D" w:rsidRPr="00925542" w:rsidRDefault="0078272D" w:rsidP="00A530BE">
            <w:pPr>
              <w:rPr>
                <w:rFonts w:ascii="Arial Narrow" w:hAnsi="Arial Narrow"/>
                <w:color w:val="548DD4" w:themeColor="text2" w:themeTint="99"/>
                <w:sz w:val="22"/>
              </w:rPr>
            </w:pPr>
          </w:p>
          <w:p w14:paraId="06DA6D36" w14:textId="44C2DD90" w:rsidR="00CC7E5F" w:rsidRDefault="003C65FA" w:rsidP="005638E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Personalkosten:</w:t>
            </w:r>
          </w:p>
          <w:p w14:paraId="4EE91229" w14:textId="298C96B3" w:rsidR="003C65FA" w:rsidRDefault="003C65FA" w:rsidP="005638EB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Es fallen keine Personalkosten an.</w:t>
            </w:r>
          </w:p>
          <w:p w14:paraId="049C58B5" w14:textId="1D96941A" w:rsidR="00CC7E5F" w:rsidRPr="001774E7" w:rsidRDefault="00CC7E5F" w:rsidP="005638EB">
            <w:pPr>
              <w:rPr>
                <w:rFonts w:ascii="Arial Narrow" w:hAnsi="Arial Narrow"/>
                <w:b/>
                <w:color w:val="548DD4" w:themeColor="text2" w:themeTint="99"/>
              </w:rPr>
            </w:pPr>
          </w:p>
          <w:p w14:paraId="7D03D20B" w14:textId="03DE0DE8" w:rsidR="00156FE0" w:rsidRPr="001774E7" w:rsidRDefault="001774E7" w:rsidP="007A314E">
            <w:pPr>
              <w:rPr>
                <w:rFonts w:ascii="Arial Narrow" w:hAnsi="Arial Narrow"/>
                <w:color w:val="548DD4" w:themeColor="text2" w:themeTint="99"/>
              </w:rPr>
            </w:pPr>
            <w:r w:rsidRPr="001774E7">
              <w:rPr>
                <w:rFonts w:ascii="Arial Narrow" w:hAnsi="Arial Narrow"/>
                <w:sz w:val="22"/>
              </w:rPr>
              <w:t xml:space="preserve">Da das Medikament </w:t>
            </w:r>
            <w:r w:rsidR="00CC7E5F" w:rsidRPr="001774E7">
              <w:rPr>
                <w:rFonts w:ascii="Arial Narrow" w:hAnsi="Arial Narrow"/>
                <w:sz w:val="22"/>
              </w:rPr>
              <w:t xml:space="preserve">eine orale Dauertherapie ist, geschieht es </w:t>
            </w:r>
            <w:r w:rsidRPr="001774E7">
              <w:rPr>
                <w:rFonts w:ascii="Arial Narrow" w:hAnsi="Arial Narrow"/>
                <w:sz w:val="22"/>
              </w:rPr>
              <w:t>eher selten</w:t>
            </w:r>
            <w:r w:rsidR="00CC7E5F" w:rsidRPr="001774E7">
              <w:rPr>
                <w:rFonts w:ascii="Arial Narrow" w:hAnsi="Arial Narrow"/>
                <w:sz w:val="22"/>
              </w:rPr>
              <w:t xml:space="preserve">, dass ein Patient für diese orale Gabe </w:t>
            </w:r>
            <w:r w:rsidRPr="001774E7">
              <w:rPr>
                <w:rFonts w:ascii="Arial Narrow" w:hAnsi="Arial Narrow"/>
                <w:sz w:val="22"/>
              </w:rPr>
              <w:t>stationär behandelt</w:t>
            </w:r>
            <w:r w:rsidR="00CC7E5F" w:rsidRPr="001774E7">
              <w:rPr>
                <w:rFonts w:ascii="Arial Narrow" w:hAnsi="Arial Narrow"/>
                <w:sz w:val="22"/>
              </w:rPr>
              <w:t xml:space="preserve"> wird und somit in </w:t>
            </w:r>
            <w:r w:rsidRPr="001774E7">
              <w:rPr>
                <w:rFonts w:ascii="Arial Narrow" w:hAnsi="Arial Narrow"/>
                <w:sz w:val="22"/>
              </w:rPr>
              <w:t>eine</w:t>
            </w:r>
            <w:r w:rsidR="00CC7E5F" w:rsidRPr="001774E7">
              <w:rPr>
                <w:rFonts w:ascii="Arial Narrow" w:hAnsi="Arial Narrow"/>
                <w:sz w:val="22"/>
              </w:rPr>
              <w:t xml:space="preserve"> organ</w:t>
            </w:r>
            <w:r>
              <w:rPr>
                <w:rFonts w:ascii="Arial Narrow" w:hAnsi="Arial Narrow"/>
                <w:sz w:val="22"/>
              </w:rPr>
              <w:t xml:space="preserve">spezifische DRG </w:t>
            </w:r>
            <w:r w:rsidR="00CC7E5F" w:rsidRPr="001774E7">
              <w:rPr>
                <w:rFonts w:ascii="Arial Narrow" w:hAnsi="Arial Narrow"/>
                <w:sz w:val="22"/>
              </w:rPr>
              <w:t xml:space="preserve">gruppiert wird. </w:t>
            </w:r>
            <w:r w:rsidRPr="001774E7">
              <w:rPr>
                <w:rFonts w:ascii="Arial Narrow" w:hAnsi="Arial Narrow"/>
                <w:sz w:val="22"/>
              </w:rPr>
              <w:t xml:space="preserve">Es </w:t>
            </w:r>
            <w:r w:rsidR="00CC7E5F" w:rsidRPr="001774E7">
              <w:rPr>
                <w:rFonts w:ascii="Arial Narrow" w:hAnsi="Arial Narrow"/>
                <w:sz w:val="22"/>
              </w:rPr>
              <w:t>kommt sehr viel häufiger vor, dass der Patient wegen einer anderen Erkrankung aufgenommen wird und diese</w:t>
            </w:r>
            <w:r w:rsidRPr="001774E7">
              <w:rPr>
                <w:rFonts w:ascii="Arial Narrow" w:hAnsi="Arial Narrow"/>
                <w:sz w:val="22"/>
              </w:rPr>
              <w:t>s Medikament</w:t>
            </w:r>
            <w:r w:rsidR="00CC7E5F" w:rsidRPr="001774E7">
              <w:rPr>
                <w:rFonts w:ascii="Arial Narrow" w:hAnsi="Arial Narrow"/>
                <w:sz w:val="22"/>
              </w:rPr>
              <w:t xml:space="preserve"> als seine Dauermedikation </w:t>
            </w:r>
            <w:r w:rsidRPr="001774E7">
              <w:rPr>
                <w:rFonts w:ascii="Arial Narrow" w:hAnsi="Arial Narrow"/>
                <w:sz w:val="22"/>
              </w:rPr>
              <w:t>weiter</w:t>
            </w:r>
            <w:r w:rsidR="00CC7E5F" w:rsidRPr="001774E7">
              <w:rPr>
                <w:rFonts w:ascii="Arial Narrow" w:hAnsi="Arial Narrow"/>
                <w:sz w:val="22"/>
              </w:rPr>
              <w:t xml:space="preserve"> erhält.  Die Kosten für dieses Medikament </w:t>
            </w:r>
            <w:r w:rsidRPr="001774E7">
              <w:rPr>
                <w:rFonts w:ascii="Arial Narrow" w:hAnsi="Arial Narrow"/>
                <w:sz w:val="22"/>
              </w:rPr>
              <w:t>können</w:t>
            </w:r>
            <w:r w:rsidR="00CC7E5F" w:rsidRPr="001774E7">
              <w:rPr>
                <w:rFonts w:ascii="Arial Narrow" w:hAnsi="Arial Narrow"/>
                <w:sz w:val="22"/>
              </w:rPr>
              <w:t xml:space="preserve"> daher in </w:t>
            </w:r>
            <w:r w:rsidRPr="001774E7">
              <w:rPr>
                <w:rFonts w:ascii="Arial Narrow" w:hAnsi="Arial Narrow"/>
                <w:sz w:val="22"/>
              </w:rPr>
              <w:t>vielen</w:t>
            </w:r>
            <w:r w:rsidR="00CC7E5F" w:rsidRPr="001774E7">
              <w:rPr>
                <w:rFonts w:ascii="Arial Narrow" w:hAnsi="Arial Narrow"/>
                <w:sz w:val="22"/>
              </w:rPr>
              <w:t xml:space="preserve"> DRG</w:t>
            </w:r>
            <w:r w:rsidRPr="001774E7">
              <w:rPr>
                <w:rFonts w:ascii="Arial Narrow" w:hAnsi="Arial Narrow"/>
                <w:sz w:val="22"/>
              </w:rPr>
              <w:t>s</w:t>
            </w:r>
            <w:r w:rsidR="00CC7E5F" w:rsidRPr="001774E7">
              <w:rPr>
                <w:rFonts w:ascii="Arial Narrow" w:hAnsi="Arial Narrow"/>
                <w:sz w:val="22"/>
              </w:rPr>
              <w:t xml:space="preserve"> vorkommen und sind möglicherweise auch nicht konkret dem Fall zugeordnet</w:t>
            </w:r>
            <w:r w:rsidRPr="001774E7">
              <w:rPr>
                <w:rFonts w:ascii="Arial Narrow" w:hAnsi="Arial Narrow"/>
                <w:sz w:val="22"/>
              </w:rPr>
              <w:t>.</w:t>
            </w:r>
            <w:r w:rsidR="004736E4">
              <w:rPr>
                <w:rFonts w:ascii="Arial Narrow" w:hAnsi="Arial Narrow"/>
                <w:sz w:val="22"/>
              </w:rPr>
              <w:t xml:space="preserve"> </w:t>
            </w:r>
          </w:p>
        </w:tc>
      </w:tr>
    </w:tbl>
    <w:p w14:paraId="45E65153" w14:textId="77777777" w:rsidR="008E6675" w:rsidRPr="005638EB" w:rsidRDefault="008E6675" w:rsidP="005638EB">
      <w:pPr>
        <w:rPr>
          <w:rFonts w:ascii="Arial Narrow" w:hAnsi="Arial Narrow"/>
          <w:b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0D84EF57" w14:textId="77777777">
        <w:tc>
          <w:tcPr>
            <w:tcW w:w="9212" w:type="dxa"/>
          </w:tcPr>
          <w:p w14:paraId="2FCAAE14" w14:textId="77777777" w:rsidR="008E6675" w:rsidRPr="005638EB" w:rsidRDefault="008E6675" w:rsidP="005638EB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Welche DRG(s) ist/sind am häufigsten von dieser Methode betroffen?</w:t>
            </w:r>
          </w:p>
        </w:tc>
      </w:tr>
      <w:tr w:rsidR="008E6675" w:rsidRPr="005638EB" w14:paraId="56F9F66E" w14:textId="77777777">
        <w:tc>
          <w:tcPr>
            <w:tcW w:w="9212" w:type="dxa"/>
          </w:tcPr>
          <w:p w14:paraId="4370C7F5" w14:textId="77777777" w:rsidR="00AF5FB8" w:rsidRDefault="005E5274" w:rsidP="005638EB">
            <w:pPr>
              <w:rPr>
                <w:rFonts w:ascii="Arial Narrow" w:hAnsi="Arial Narrow"/>
                <w:color w:val="000000" w:themeColor="text1"/>
                <w:sz w:val="22"/>
              </w:rPr>
            </w:pPr>
            <w:r w:rsidRPr="007F28FB">
              <w:rPr>
                <w:rFonts w:ascii="Arial Narrow" w:hAnsi="Arial Narrow"/>
                <w:color w:val="000000" w:themeColor="text1"/>
                <w:sz w:val="22"/>
              </w:rPr>
              <w:t>J</w:t>
            </w:r>
            <w:r w:rsidR="007F28FB" w:rsidRPr="007F28FB">
              <w:rPr>
                <w:rFonts w:ascii="Arial Narrow" w:hAnsi="Arial Narrow"/>
                <w:color w:val="000000" w:themeColor="text1"/>
                <w:sz w:val="22"/>
              </w:rPr>
              <w:t>62B</w:t>
            </w:r>
          </w:p>
          <w:p w14:paraId="5FFFFEB0" w14:textId="77777777" w:rsidR="00AF5FB8" w:rsidRDefault="007F28FB" w:rsidP="005638EB">
            <w:pPr>
              <w:rPr>
                <w:rFonts w:ascii="Arial Narrow" w:hAnsi="Arial Narrow"/>
                <w:color w:val="000000" w:themeColor="text1"/>
                <w:sz w:val="22"/>
              </w:rPr>
            </w:pPr>
            <w:r w:rsidRPr="007F28FB">
              <w:rPr>
                <w:rFonts w:ascii="Arial Narrow" w:hAnsi="Arial Narrow"/>
                <w:color w:val="000000" w:themeColor="text1"/>
                <w:sz w:val="22"/>
              </w:rPr>
              <w:t>J07B</w:t>
            </w:r>
          </w:p>
          <w:p w14:paraId="41425C25" w14:textId="77777777" w:rsidR="00AF5FB8" w:rsidRDefault="007F28FB" w:rsidP="005638EB">
            <w:pPr>
              <w:rPr>
                <w:rFonts w:ascii="Arial Narrow" w:hAnsi="Arial Narrow"/>
                <w:color w:val="000000" w:themeColor="text1"/>
                <w:sz w:val="22"/>
              </w:rPr>
            </w:pPr>
            <w:r w:rsidRPr="007F28FB">
              <w:rPr>
                <w:rFonts w:ascii="Arial Narrow" w:hAnsi="Arial Narrow"/>
                <w:color w:val="000000" w:themeColor="text1"/>
                <w:sz w:val="22"/>
              </w:rPr>
              <w:t>J23Z</w:t>
            </w:r>
          </w:p>
          <w:p w14:paraId="3FDE8751" w14:textId="1895AE09" w:rsidR="008E6675" w:rsidRPr="00A100DC" w:rsidRDefault="007F28FB" w:rsidP="005638EB">
            <w:pPr>
              <w:rPr>
                <w:rFonts w:ascii="Arial Narrow" w:hAnsi="Arial Narrow"/>
                <w:color w:val="00B050"/>
                <w:sz w:val="22"/>
              </w:rPr>
            </w:pPr>
            <w:r w:rsidRPr="007F28FB">
              <w:rPr>
                <w:rFonts w:ascii="Arial Narrow" w:hAnsi="Arial Narrow"/>
                <w:color w:val="000000" w:themeColor="text1"/>
                <w:sz w:val="22"/>
              </w:rPr>
              <w:t>J25Z</w:t>
            </w:r>
          </w:p>
        </w:tc>
      </w:tr>
    </w:tbl>
    <w:p w14:paraId="4E6FC927" w14:textId="77777777" w:rsidR="008E6675" w:rsidRPr="005638EB" w:rsidRDefault="008E6675" w:rsidP="005638EB">
      <w:pPr>
        <w:rPr>
          <w:rFonts w:ascii="Arial Narrow" w:hAnsi="Arial Narrow"/>
          <w:b/>
        </w:rPr>
      </w:pPr>
    </w:p>
    <w:tbl>
      <w:tblPr>
        <w:tblStyle w:val="TableNormal1"/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212"/>
      </w:tblGrid>
      <w:tr w:rsidR="008E6675" w:rsidRPr="005638EB" w14:paraId="4E9DF4AB" w14:textId="77777777">
        <w:tc>
          <w:tcPr>
            <w:tcW w:w="9212" w:type="dxa"/>
          </w:tcPr>
          <w:p w14:paraId="3184CC4A" w14:textId="77777777" w:rsidR="008E6675" w:rsidRPr="005638EB" w:rsidRDefault="008E6675" w:rsidP="005638EB">
            <w:pPr>
              <w:rPr>
                <w:rFonts w:ascii="Arial Narrow" w:hAnsi="Arial Narrow"/>
              </w:rPr>
            </w:pPr>
            <w:r w:rsidRPr="008C1686">
              <w:rPr>
                <w:rFonts w:ascii="Arial Narrow" w:hAnsi="Arial Narrow"/>
                <w:b/>
                <w:sz w:val="22"/>
              </w:rPr>
              <w:t>Warum ist diese Methode aus Ihrer Sicht derzeit im G-DRG-System nicht sachgerecht abgebildet?</w:t>
            </w:r>
          </w:p>
        </w:tc>
      </w:tr>
      <w:tr w:rsidR="008E6675" w:rsidRPr="00ED4386" w14:paraId="3100E4A7" w14:textId="77777777">
        <w:tc>
          <w:tcPr>
            <w:tcW w:w="9212" w:type="dxa"/>
          </w:tcPr>
          <w:p w14:paraId="0C06450C" w14:textId="2F3DFD7C" w:rsidR="006549F4" w:rsidRPr="00ED4386" w:rsidRDefault="00575DDB" w:rsidP="006549F4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Camizestrant</w:t>
            </w:r>
            <w:r w:rsidR="006549F4" w:rsidRPr="00ED4386">
              <w:rPr>
                <w:rFonts w:ascii="Arial Narrow" w:hAnsi="Arial Narrow"/>
                <w:sz w:val="22"/>
              </w:rPr>
              <w:t xml:space="preserve"> ist erst seit </w:t>
            </w:r>
            <w:r w:rsidR="005363F4">
              <w:rPr>
                <w:rFonts w:ascii="Arial Narrow" w:hAnsi="Arial Narrow"/>
                <w:sz w:val="22"/>
              </w:rPr>
              <w:t xml:space="preserve">Juli </w:t>
            </w:r>
            <w:r w:rsidR="001774E7" w:rsidRPr="000E77B2">
              <w:rPr>
                <w:rFonts w:ascii="Arial Narrow" w:hAnsi="Arial Narrow"/>
                <w:sz w:val="22"/>
              </w:rPr>
              <w:t>202</w:t>
            </w:r>
            <w:r w:rsidR="00C747EC" w:rsidRPr="000E77B2">
              <w:rPr>
                <w:rFonts w:ascii="Arial Narrow" w:hAnsi="Arial Narrow"/>
                <w:sz w:val="22"/>
              </w:rPr>
              <w:t>6</w:t>
            </w:r>
            <w:r>
              <w:rPr>
                <w:rFonts w:ascii="Arial Narrow" w:hAnsi="Arial Narrow"/>
                <w:sz w:val="22"/>
              </w:rPr>
              <w:t xml:space="preserve"> zugelassen.</w:t>
            </w:r>
            <w:r w:rsidR="006549F4" w:rsidRPr="00ED4386">
              <w:rPr>
                <w:rFonts w:ascii="Arial Narrow" w:hAnsi="Arial Narrow"/>
                <w:sz w:val="22"/>
              </w:rPr>
              <w:t xml:space="preserve"> </w:t>
            </w:r>
          </w:p>
          <w:p w14:paraId="67938C43" w14:textId="5DB53748" w:rsidR="006549F4" w:rsidRPr="00ED4386" w:rsidRDefault="001774E7" w:rsidP="006549F4">
            <w:pPr>
              <w:rPr>
                <w:rFonts w:ascii="Arial Narrow" w:hAnsi="Arial Narrow"/>
                <w:sz w:val="22"/>
              </w:rPr>
            </w:pPr>
            <w:r w:rsidRPr="00ED4386">
              <w:rPr>
                <w:rFonts w:ascii="Arial Narrow" w:hAnsi="Arial Narrow"/>
                <w:sz w:val="22"/>
              </w:rPr>
              <w:t>Für das Datenjahr 202</w:t>
            </w:r>
            <w:r w:rsidR="006051BD">
              <w:rPr>
                <w:rFonts w:ascii="Arial Narrow" w:hAnsi="Arial Narrow"/>
                <w:sz w:val="22"/>
              </w:rPr>
              <w:t>5</w:t>
            </w:r>
            <w:r w:rsidR="006549F4" w:rsidRPr="00ED4386">
              <w:rPr>
                <w:rFonts w:ascii="Arial Narrow" w:hAnsi="Arial Narrow"/>
                <w:sz w:val="22"/>
              </w:rPr>
              <w:t xml:space="preserve"> können </w:t>
            </w:r>
            <w:r w:rsidR="00A100DC" w:rsidRPr="00ED4386">
              <w:rPr>
                <w:rFonts w:ascii="Arial Narrow" w:hAnsi="Arial Narrow"/>
                <w:sz w:val="22"/>
              </w:rPr>
              <w:t xml:space="preserve">daher </w:t>
            </w:r>
            <w:r w:rsidR="006549F4" w:rsidRPr="00ED4386">
              <w:rPr>
                <w:rFonts w:ascii="Arial Narrow" w:hAnsi="Arial Narrow"/>
                <w:sz w:val="22"/>
              </w:rPr>
              <w:t xml:space="preserve">aus den Kalkulationshäusern keine Kostendaten für den Einsatz vorliegen. </w:t>
            </w:r>
          </w:p>
          <w:p w14:paraId="2278DB4E" w14:textId="0C169D47" w:rsidR="006549F4" w:rsidRPr="00ED4386" w:rsidRDefault="006549F4" w:rsidP="006549F4">
            <w:pPr>
              <w:rPr>
                <w:rFonts w:ascii="Arial Narrow" w:hAnsi="Arial Narrow"/>
                <w:sz w:val="22"/>
              </w:rPr>
            </w:pPr>
            <w:bookmarkStart w:id="1" w:name="_Hlk83811057"/>
            <w:r w:rsidRPr="00ED4386">
              <w:rPr>
                <w:rFonts w:ascii="Arial Narrow" w:hAnsi="Arial Narrow"/>
                <w:sz w:val="22"/>
              </w:rPr>
              <w:t xml:space="preserve">Eine sachgerechte Abbildung im G-DRG System </w:t>
            </w:r>
            <w:r w:rsidR="00ED4386">
              <w:rPr>
                <w:rFonts w:ascii="Arial Narrow" w:hAnsi="Arial Narrow"/>
                <w:sz w:val="22"/>
              </w:rPr>
              <w:t>202</w:t>
            </w:r>
            <w:r w:rsidR="0032263F">
              <w:rPr>
                <w:rFonts w:ascii="Arial Narrow" w:hAnsi="Arial Narrow"/>
                <w:sz w:val="22"/>
              </w:rPr>
              <w:t>7</w:t>
            </w:r>
            <w:r w:rsidR="00ED4386">
              <w:rPr>
                <w:rFonts w:ascii="Arial Narrow" w:hAnsi="Arial Narrow"/>
                <w:sz w:val="22"/>
              </w:rPr>
              <w:t xml:space="preserve"> </w:t>
            </w:r>
            <w:r w:rsidRPr="00ED4386">
              <w:rPr>
                <w:rFonts w:ascii="Arial Narrow" w:hAnsi="Arial Narrow"/>
                <w:sz w:val="22"/>
              </w:rPr>
              <w:t>wird damit nicht möglich.</w:t>
            </w:r>
          </w:p>
          <w:p w14:paraId="11820792" w14:textId="63C49749" w:rsidR="006549F4" w:rsidRPr="00ED4386" w:rsidRDefault="006549F4" w:rsidP="006549F4">
            <w:pPr>
              <w:rPr>
                <w:rFonts w:ascii="Arial Narrow" w:hAnsi="Arial Narrow"/>
                <w:sz w:val="22"/>
              </w:rPr>
            </w:pPr>
            <w:r w:rsidRPr="00ED4386">
              <w:rPr>
                <w:rFonts w:ascii="Arial Narrow" w:hAnsi="Arial Narrow"/>
                <w:sz w:val="22"/>
              </w:rPr>
              <w:t>Die zusätzlichen Kosten von ca.</w:t>
            </w:r>
            <w:r w:rsidR="003A72AB">
              <w:rPr>
                <w:rFonts w:ascii="Arial Narrow" w:hAnsi="Arial Narrow"/>
                <w:sz w:val="22"/>
              </w:rPr>
              <w:t xml:space="preserve"> </w:t>
            </w:r>
            <w:r w:rsidR="00EB3182" w:rsidRPr="00BA7DB8">
              <w:rPr>
                <w:rFonts w:ascii="Arial Narrow" w:hAnsi="Arial Narrow"/>
                <w:sz w:val="22"/>
              </w:rPr>
              <w:t>3.86</w:t>
            </w:r>
            <w:r w:rsidR="00EB3182">
              <w:rPr>
                <w:rFonts w:ascii="Arial Narrow" w:hAnsi="Arial Narrow"/>
                <w:sz w:val="22"/>
              </w:rPr>
              <w:t>4</w:t>
            </w:r>
            <w:r w:rsidR="00EB3182" w:rsidRPr="00BA7DB8">
              <w:rPr>
                <w:rFonts w:ascii="Arial Narrow" w:hAnsi="Arial Narrow"/>
                <w:sz w:val="22"/>
              </w:rPr>
              <w:t>,84 € bis 4.625,6</w:t>
            </w:r>
            <w:r w:rsidR="00EB3182">
              <w:rPr>
                <w:rFonts w:ascii="Arial Narrow" w:hAnsi="Arial Narrow"/>
                <w:sz w:val="22"/>
              </w:rPr>
              <w:t xml:space="preserve">7 </w:t>
            </w:r>
            <w:r w:rsidR="00EB3182" w:rsidRPr="00541B64">
              <w:rPr>
                <w:rFonts w:ascii="Arial Narrow" w:hAnsi="Arial Narrow"/>
                <w:sz w:val="22"/>
              </w:rPr>
              <w:t xml:space="preserve">€ </w:t>
            </w:r>
            <w:r w:rsidRPr="00ED4386">
              <w:rPr>
                <w:rFonts w:ascii="Arial Narrow" w:hAnsi="Arial Narrow"/>
                <w:sz w:val="22"/>
              </w:rPr>
              <w:t>pro A</w:t>
            </w:r>
            <w:r w:rsidR="006A2948">
              <w:rPr>
                <w:rFonts w:ascii="Arial Narrow" w:hAnsi="Arial Narrow"/>
                <w:sz w:val="22"/>
              </w:rPr>
              <w:t>ufenthalt</w:t>
            </w:r>
            <w:r w:rsidRPr="00ED4386">
              <w:rPr>
                <w:rFonts w:ascii="Arial Narrow" w:hAnsi="Arial Narrow"/>
                <w:sz w:val="22"/>
              </w:rPr>
              <w:t xml:space="preserve"> können aber mit </w:t>
            </w:r>
            <w:r w:rsidR="00A100DC" w:rsidRPr="00ED4386">
              <w:rPr>
                <w:rFonts w:ascii="Arial Narrow" w:hAnsi="Arial Narrow"/>
                <w:sz w:val="22"/>
              </w:rPr>
              <w:t>den o.g.</w:t>
            </w:r>
            <w:r w:rsidRPr="00ED4386">
              <w:rPr>
                <w:rFonts w:ascii="Arial Narrow" w:hAnsi="Arial Narrow"/>
                <w:sz w:val="22"/>
              </w:rPr>
              <w:t xml:space="preserve"> Fallpauschale</w:t>
            </w:r>
            <w:r w:rsidR="00A100DC" w:rsidRPr="00ED4386">
              <w:rPr>
                <w:rFonts w:ascii="Arial Narrow" w:hAnsi="Arial Narrow"/>
                <w:sz w:val="22"/>
              </w:rPr>
              <w:t>n</w:t>
            </w:r>
            <w:r w:rsidRPr="00ED4386">
              <w:rPr>
                <w:rFonts w:ascii="Arial Narrow" w:hAnsi="Arial Narrow"/>
                <w:sz w:val="22"/>
              </w:rPr>
              <w:t xml:space="preserve"> allein nicht ausreichend abgebildet werden. </w:t>
            </w:r>
          </w:p>
          <w:p w14:paraId="222643B9" w14:textId="57C3AD99" w:rsidR="008E6675" w:rsidRPr="00D528BC" w:rsidRDefault="006549F4" w:rsidP="0004094A">
            <w:pPr>
              <w:rPr>
                <w:rFonts w:ascii="Arial Narrow" w:hAnsi="Arial Narrow"/>
                <w:color w:val="00B050"/>
                <w:sz w:val="22"/>
              </w:rPr>
            </w:pPr>
            <w:r w:rsidRPr="00ED4386">
              <w:rPr>
                <w:rFonts w:ascii="Arial Narrow" w:hAnsi="Arial Narrow"/>
                <w:sz w:val="22"/>
              </w:rPr>
              <w:t xml:space="preserve">Aufgrund der hohen Kosten des Medikaments kommt es zu einer </w:t>
            </w:r>
            <w:r w:rsidR="00454847" w:rsidRPr="00ED4386">
              <w:rPr>
                <w:rFonts w:ascii="Arial Narrow" w:hAnsi="Arial Narrow"/>
                <w:sz w:val="22"/>
              </w:rPr>
              <w:t xml:space="preserve">Unterfinanzierung </w:t>
            </w:r>
            <w:r w:rsidRPr="00ED4386">
              <w:rPr>
                <w:rFonts w:ascii="Arial Narrow" w:hAnsi="Arial Narrow"/>
                <w:sz w:val="22"/>
              </w:rPr>
              <w:t xml:space="preserve">in </w:t>
            </w:r>
            <w:r w:rsidR="00620855" w:rsidRPr="00ED4386">
              <w:rPr>
                <w:rFonts w:ascii="Arial Narrow" w:hAnsi="Arial Narrow"/>
                <w:sz w:val="22"/>
              </w:rPr>
              <w:t xml:space="preserve">den </w:t>
            </w:r>
            <w:r w:rsidR="00620855" w:rsidRPr="00620855">
              <w:rPr>
                <w:rFonts w:ascii="Arial Narrow" w:hAnsi="Arial Narrow"/>
                <w:sz w:val="22"/>
              </w:rPr>
              <w:t xml:space="preserve">entsprechenden Fällen </w:t>
            </w:r>
            <w:r w:rsidRPr="00ED4386">
              <w:rPr>
                <w:rFonts w:ascii="Arial Narrow" w:hAnsi="Arial Narrow"/>
                <w:sz w:val="22"/>
              </w:rPr>
              <w:t>der betroffenen DRG</w:t>
            </w:r>
            <w:r w:rsidR="00620855">
              <w:rPr>
                <w:rFonts w:ascii="Arial Narrow" w:hAnsi="Arial Narrow"/>
                <w:sz w:val="22"/>
              </w:rPr>
              <w:t>s</w:t>
            </w:r>
            <w:r w:rsidRPr="00ED4386">
              <w:rPr>
                <w:rFonts w:ascii="Arial Narrow" w:hAnsi="Arial Narrow"/>
                <w:sz w:val="22"/>
              </w:rPr>
              <w:t>.</w:t>
            </w:r>
            <w:bookmarkEnd w:id="1"/>
          </w:p>
        </w:tc>
      </w:tr>
    </w:tbl>
    <w:p w14:paraId="0A50A959" w14:textId="77777777" w:rsidR="008E6675" w:rsidRPr="005638EB" w:rsidRDefault="008E6675" w:rsidP="00087C43">
      <w:pPr>
        <w:rPr>
          <w:rFonts w:ascii="Arial Narrow" w:hAnsi="Arial Narrow"/>
        </w:rPr>
      </w:pPr>
    </w:p>
    <w:sectPr w:rsidR="008E6675" w:rsidRPr="005638EB" w:rsidSect="004E1D02">
      <w:headerReference w:type="default" r:id="rId11"/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79990" w14:textId="77777777" w:rsidR="00F57065" w:rsidRDefault="00F57065">
      <w:r>
        <w:separator/>
      </w:r>
    </w:p>
  </w:endnote>
  <w:endnote w:type="continuationSeparator" w:id="0">
    <w:p w14:paraId="1CC57776" w14:textId="77777777" w:rsidR="00F57065" w:rsidRDefault="00F57065">
      <w:r>
        <w:continuationSeparator/>
      </w:r>
    </w:p>
  </w:endnote>
  <w:endnote w:type="continuationNotice" w:id="1">
    <w:p w14:paraId="2178206D" w14:textId="77777777" w:rsidR="00F57065" w:rsidRDefault="00F570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6D3D" w14:textId="0C988EAF" w:rsidR="00F64982" w:rsidRPr="00435583" w:rsidRDefault="00F64982" w:rsidP="00435583">
    <w:pPr>
      <w:pStyle w:val="Fuzeile"/>
      <w:rPr>
        <w:rFonts w:ascii="Arial Narrow" w:hAnsi="Arial Narrow"/>
        <w:sz w:val="20"/>
        <w:szCs w:val="20"/>
      </w:rPr>
    </w:pPr>
    <w:r w:rsidRPr="00435583">
      <w:rPr>
        <w:rFonts w:ascii="Arial Narrow" w:hAnsi="Arial Narrow"/>
        <w:sz w:val="20"/>
        <w:szCs w:val="20"/>
      </w:rPr>
      <w:t xml:space="preserve">NUB-Musteranfrage </w:t>
    </w:r>
    <w:r w:rsidR="00183107">
      <w:rPr>
        <w:rFonts w:ascii="Arial Narrow" w:hAnsi="Arial Narrow"/>
        <w:sz w:val="20"/>
        <w:szCs w:val="20"/>
      </w:rPr>
      <w:t>Camizestrant</w:t>
    </w:r>
  </w:p>
  <w:p w14:paraId="6E7C81DA" w14:textId="3121CB20" w:rsidR="00F64982" w:rsidRPr="00587796" w:rsidRDefault="00587796" w:rsidP="00587796">
    <w:pPr>
      <w:pStyle w:val="Fuzeile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 xml:space="preserve">AstraZeneca Freigabenummer: </w:t>
    </w:r>
    <w:r w:rsidRPr="00587796">
      <w:rPr>
        <w:rFonts w:ascii="Arial Narrow" w:hAnsi="Arial Narrow"/>
        <w:sz w:val="20"/>
        <w:szCs w:val="20"/>
      </w:rPr>
      <w:t>DE-98817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62A5B" w14:textId="77777777" w:rsidR="00F57065" w:rsidRDefault="00F57065">
      <w:r>
        <w:separator/>
      </w:r>
    </w:p>
  </w:footnote>
  <w:footnote w:type="continuationSeparator" w:id="0">
    <w:p w14:paraId="37A49EE4" w14:textId="77777777" w:rsidR="00F57065" w:rsidRDefault="00F57065">
      <w:r>
        <w:continuationSeparator/>
      </w:r>
    </w:p>
  </w:footnote>
  <w:footnote w:type="continuationNotice" w:id="1">
    <w:p w14:paraId="11A4A931" w14:textId="77777777" w:rsidR="00F57065" w:rsidRDefault="00F5706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58799" w14:textId="47B15C65" w:rsidR="00F64982" w:rsidRPr="004C4F82" w:rsidRDefault="00F64982" w:rsidP="00596F9A">
    <w:pPr>
      <w:pStyle w:val="Titel"/>
      <w:rPr>
        <w:sz w:val="48"/>
      </w:rPr>
    </w:pPr>
    <w:r w:rsidRPr="004C4F82">
      <w:rPr>
        <w:sz w:val="48"/>
      </w:rPr>
      <w:t>NUB Antrag 20</w:t>
    </w:r>
    <w:r>
      <w:rPr>
        <w:sz w:val="48"/>
      </w:rPr>
      <w:t>2</w:t>
    </w:r>
    <w:r w:rsidR="003E4D33">
      <w:rPr>
        <w:sz w:val="48"/>
      </w:rPr>
      <w:t>6</w:t>
    </w:r>
    <w:r w:rsidRPr="004C4F82">
      <w:rPr>
        <w:sz w:val="48"/>
      </w:rPr>
      <w:t>/20</w:t>
    </w:r>
    <w:r>
      <w:rPr>
        <w:sz w:val="48"/>
      </w:rPr>
      <w:t>2</w:t>
    </w:r>
    <w:r w:rsidR="003E4D33">
      <w:rPr>
        <w:sz w:val="48"/>
      </w:rPr>
      <w:t>7</w:t>
    </w:r>
  </w:p>
  <w:p w14:paraId="2D6FE634" w14:textId="76E2CE4E" w:rsidR="00F64982" w:rsidRPr="004C4F82" w:rsidRDefault="004F2282" w:rsidP="00596F9A">
    <w:pPr>
      <w:pStyle w:val="Titel"/>
      <w:rPr>
        <w:sz w:val="48"/>
      </w:rPr>
    </w:pPr>
    <w:r>
      <w:rPr>
        <w:sz w:val="48"/>
      </w:rPr>
      <w:t>Camizestrant</w:t>
    </w:r>
  </w:p>
  <w:p w14:paraId="38DF28C4" w14:textId="77777777" w:rsidR="00F64982" w:rsidRDefault="00F6498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24E2F"/>
    <w:multiLevelType w:val="hybridMultilevel"/>
    <w:tmpl w:val="1C4049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B2B83"/>
    <w:multiLevelType w:val="multilevel"/>
    <w:tmpl w:val="1D4663A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0E5C1CCB"/>
    <w:multiLevelType w:val="multilevel"/>
    <w:tmpl w:val="7D0241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3" w15:restartNumberingAfterBreak="0">
    <w:nsid w:val="0F8C1304"/>
    <w:multiLevelType w:val="hybridMultilevel"/>
    <w:tmpl w:val="49187E7A"/>
    <w:lvl w:ilvl="0" w:tplc="F4DC3A5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2CA00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9B6E4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0E6B0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2A8AE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AC12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4C64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F8C7AD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2C29F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D81313"/>
    <w:multiLevelType w:val="hybridMultilevel"/>
    <w:tmpl w:val="7F4E33F6"/>
    <w:lvl w:ilvl="0" w:tplc="9AEE24C8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sz w:val="22"/>
      </w:rPr>
    </w:lvl>
    <w:lvl w:ilvl="1" w:tplc="81F03F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DC57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3D508A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98B2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468C7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31E291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7AEEF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85C54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4D95BE7"/>
    <w:multiLevelType w:val="hybridMultilevel"/>
    <w:tmpl w:val="41CCB678"/>
    <w:lvl w:ilvl="0" w:tplc="2E34F0D2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DC15EE"/>
    <w:multiLevelType w:val="multilevel"/>
    <w:tmpl w:val="E72069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296300F9"/>
    <w:multiLevelType w:val="hybridMultilevel"/>
    <w:tmpl w:val="D0F4BD28"/>
    <w:lvl w:ilvl="0" w:tplc="47D65AF8">
      <w:start w:val="1"/>
      <w:numFmt w:val="decimal"/>
      <w:lvlText w:val="(%1)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sz w:val="22"/>
      </w:rPr>
    </w:lvl>
    <w:lvl w:ilvl="1" w:tplc="3AC05F4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90DA7DEE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B27838E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F0A4437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7C9ABF0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1FE611FC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501008C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1F2C430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2C1D1057"/>
    <w:multiLevelType w:val="hybridMultilevel"/>
    <w:tmpl w:val="254E9D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3E6F25"/>
    <w:multiLevelType w:val="multilevel"/>
    <w:tmpl w:val="6F3232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  <w:b w:val="0"/>
      </w:rPr>
    </w:lvl>
  </w:abstractNum>
  <w:abstractNum w:abstractNumId="10" w15:restartNumberingAfterBreak="0">
    <w:nsid w:val="61FB1A21"/>
    <w:multiLevelType w:val="hybridMultilevel"/>
    <w:tmpl w:val="8BACE4F6"/>
    <w:lvl w:ilvl="0" w:tplc="92148044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ascii="Arial" w:hAnsi="Arial" w:cs="Arial" w:hint="default"/>
        <w:sz w:val="22"/>
      </w:rPr>
    </w:lvl>
    <w:lvl w:ilvl="1" w:tplc="296C68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D049F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80E9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5C8E9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C10FB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486AE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2D238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54869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66297720"/>
    <w:multiLevelType w:val="hybridMultilevel"/>
    <w:tmpl w:val="D372435A"/>
    <w:lvl w:ilvl="0" w:tplc="899480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B1035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5A252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CCE2C4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168E72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25651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68F56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15213E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75EFC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3BC480A"/>
    <w:multiLevelType w:val="hybridMultilevel"/>
    <w:tmpl w:val="B6404C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2003">
    <w:abstractNumId w:val="9"/>
  </w:num>
  <w:num w:numId="2" w16cid:durableId="1563248054">
    <w:abstractNumId w:val="11"/>
  </w:num>
  <w:num w:numId="3" w16cid:durableId="1578513243">
    <w:abstractNumId w:val="0"/>
  </w:num>
  <w:num w:numId="4" w16cid:durableId="1591771032">
    <w:abstractNumId w:val="12"/>
  </w:num>
  <w:num w:numId="5" w16cid:durableId="1669944857">
    <w:abstractNumId w:val="2"/>
  </w:num>
  <w:num w:numId="6" w16cid:durableId="1771007630">
    <w:abstractNumId w:val="5"/>
  </w:num>
  <w:num w:numId="7" w16cid:durableId="1798790414">
    <w:abstractNumId w:val="7"/>
  </w:num>
  <w:num w:numId="8" w16cid:durableId="1819347071">
    <w:abstractNumId w:val="3"/>
  </w:num>
  <w:num w:numId="9" w16cid:durableId="1890649850">
    <w:abstractNumId w:val="6"/>
  </w:num>
  <w:num w:numId="10" w16cid:durableId="1960261311">
    <w:abstractNumId w:val="10"/>
  </w:num>
  <w:num w:numId="11" w16cid:durableId="37702949">
    <w:abstractNumId w:val="8"/>
  </w:num>
  <w:num w:numId="12" w16cid:durableId="646129392">
    <w:abstractNumId w:val="1"/>
  </w:num>
  <w:num w:numId="13" w16cid:durableId="7051828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1E794084-83B0-4B46-BD37-262E0589DDB9}"/>
    <w:docVar w:name="dgnword-eventsink" w:val="507668536"/>
  </w:docVars>
  <w:rsids>
    <w:rsidRoot w:val="00234FB1"/>
    <w:rsid w:val="000035D5"/>
    <w:rsid w:val="00005118"/>
    <w:rsid w:val="00015BCA"/>
    <w:rsid w:val="00017134"/>
    <w:rsid w:val="000208EC"/>
    <w:rsid w:val="0002135C"/>
    <w:rsid w:val="00024651"/>
    <w:rsid w:val="000326B8"/>
    <w:rsid w:val="0004094A"/>
    <w:rsid w:val="00044597"/>
    <w:rsid w:val="00044E86"/>
    <w:rsid w:val="00047A08"/>
    <w:rsid w:val="00047FC7"/>
    <w:rsid w:val="00054D12"/>
    <w:rsid w:val="000551BC"/>
    <w:rsid w:val="000567C7"/>
    <w:rsid w:val="000605E2"/>
    <w:rsid w:val="00065A38"/>
    <w:rsid w:val="00067001"/>
    <w:rsid w:val="00072A33"/>
    <w:rsid w:val="000813C5"/>
    <w:rsid w:val="00081E48"/>
    <w:rsid w:val="00082FA0"/>
    <w:rsid w:val="00087C43"/>
    <w:rsid w:val="000953D2"/>
    <w:rsid w:val="000A0941"/>
    <w:rsid w:val="000A1AD0"/>
    <w:rsid w:val="000A78BB"/>
    <w:rsid w:val="000B2008"/>
    <w:rsid w:val="000B5149"/>
    <w:rsid w:val="000C11DB"/>
    <w:rsid w:val="000C13A6"/>
    <w:rsid w:val="000C5259"/>
    <w:rsid w:val="000C704A"/>
    <w:rsid w:val="000D2CCA"/>
    <w:rsid w:val="000D2FE4"/>
    <w:rsid w:val="000D57F1"/>
    <w:rsid w:val="000D615D"/>
    <w:rsid w:val="000D6206"/>
    <w:rsid w:val="000E3126"/>
    <w:rsid w:val="000E51E0"/>
    <w:rsid w:val="000E530C"/>
    <w:rsid w:val="000E77B2"/>
    <w:rsid w:val="000F7542"/>
    <w:rsid w:val="00104C97"/>
    <w:rsid w:val="001073E2"/>
    <w:rsid w:val="00112EA1"/>
    <w:rsid w:val="001206DB"/>
    <w:rsid w:val="00120B58"/>
    <w:rsid w:val="00134CF4"/>
    <w:rsid w:val="001419B0"/>
    <w:rsid w:val="00142CFC"/>
    <w:rsid w:val="00147D77"/>
    <w:rsid w:val="001530CB"/>
    <w:rsid w:val="00156FE0"/>
    <w:rsid w:val="0016071C"/>
    <w:rsid w:val="001714CB"/>
    <w:rsid w:val="00173016"/>
    <w:rsid w:val="001745F3"/>
    <w:rsid w:val="00174C6A"/>
    <w:rsid w:val="001774E7"/>
    <w:rsid w:val="001778D2"/>
    <w:rsid w:val="001809A6"/>
    <w:rsid w:val="00180D6A"/>
    <w:rsid w:val="001812EC"/>
    <w:rsid w:val="00183107"/>
    <w:rsid w:val="00186C73"/>
    <w:rsid w:val="00191523"/>
    <w:rsid w:val="001934F0"/>
    <w:rsid w:val="001961B6"/>
    <w:rsid w:val="001A7AC7"/>
    <w:rsid w:val="001B3DF4"/>
    <w:rsid w:val="001C390E"/>
    <w:rsid w:val="001E27FA"/>
    <w:rsid w:val="001E7F8E"/>
    <w:rsid w:val="001F39F1"/>
    <w:rsid w:val="001F4753"/>
    <w:rsid w:val="002005AF"/>
    <w:rsid w:val="002121FF"/>
    <w:rsid w:val="00212C41"/>
    <w:rsid w:val="00214DC2"/>
    <w:rsid w:val="00225F73"/>
    <w:rsid w:val="00226396"/>
    <w:rsid w:val="0023001E"/>
    <w:rsid w:val="002308BC"/>
    <w:rsid w:val="002333FF"/>
    <w:rsid w:val="00234FB1"/>
    <w:rsid w:val="00243981"/>
    <w:rsid w:val="00246BD8"/>
    <w:rsid w:val="00256A7C"/>
    <w:rsid w:val="00256B7C"/>
    <w:rsid w:val="00282C6C"/>
    <w:rsid w:val="0028432D"/>
    <w:rsid w:val="00285AE4"/>
    <w:rsid w:val="00292D67"/>
    <w:rsid w:val="00295579"/>
    <w:rsid w:val="00296749"/>
    <w:rsid w:val="002A1CDD"/>
    <w:rsid w:val="002A3C02"/>
    <w:rsid w:val="002A6954"/>
    <w:rsid w:val="002B187B"/>
    <w:rsid w:val="002B298B"/>
    <w:rsid w:val="002B5188"/>
    <w:rsid w:val="002B5523"/>
    <w:rsid w:val="002B7EF5"/>
    <w:rsid w:val="002C1936"/>
    <w:rsid w:val="002C69A8"/>
    <w:rsid w:val="002D588A"/>
    <w:rsid w:val="002D7403"/>
    <w:rsid w:val="002E5E26"/>
    <w:rsid w:val="002F7C5F"/>
    <w:rsid w:val="00305016"/>
    <w:rsid w:val="00317508"/>
    <w:rsid w:val="0032263F"/>
    <w:rsid w:val="0032264E"/>
    <w:rsid w:val="003300D3"/>
    <w:rsid w:val="00332704"/>
    <w:rsid w:val="00340D3A"/>
    <w:rsid w:val="00344735"/>
    <w:rsid w:val="003453D2"/>
    <w:rsid w:val="003479E5"/>
    <w:rsid w:val="00351656"/>
    <w:rsid w:val="0036178C"/>
    <w:rsid w:val="0036325A"/>
    <w:rsid w:val="00366B11"/>
    <w:rsid w:val="00372C83"/>
    <w:rsid w:val="00373781"/>
    <w:rsid w:val="00384D20"/>
    <w:rsid w:val="00392F83"/>
    <w:rsid w:val="00393D29"/>
    <w:rsid w:val="00394E09"/>
    <w:rsid w:val="00397627"/>
    <w:rsid w:val="00397E4E"/>
    <w:rsid w:val="003A43E8"/>
    <w:rsid w:val="003A5804"/>
    <w:rsid w:val="003A710E"/>
    <w:rsid w:val="003A72AB"/>
    <w:rsid w:val="003B2E05"/>
    <w:rsid w:val="003C0C9D"/>
    <w:rsid w:val="003C3358"/>
    <w:rsid w:val="003C65FA"/>
    <w:rsid w:val="003D6E3E"/>
    <w:rsid w:val="003E21E9"/>
    <w:rsid w:val="003E4D33"/>
    <w:rsid w:val="003F2692"/>
    <w:rsid w:val="004000D9"/>
    <w:rsid w:val="00405943"/>
    <w:rsid w:val="0040610F"/>
    <w:rsid w:val="0041156E"/>
    <w:rsid w:val="0041411B"/>
    <w:rsid w:val="00414824"/>
    <w:rsid w:val="004226DE"/>
    <w:rsid w:val="00422874"/>
    <w:rsid w:val="004260C2"/>
    <w:rsid w:val="00430973"/>
    <w:rsid w:val="00432AC4"/>
    <w:rsid w:val="00435583"/>
    <w:rsid w:val="00444461"/>
    <w:rsid w:val="00454847"/>
    <w:rsid w:val="004642E2"/>
    <w:rsid w:val="00465F7E"/>
    <w:rsid w:val="00467246"/>
    <w:rsid w:val="00471091"/>
    <w:rsid w:val="004736E4"/>
    <w:rsid w:val="00473D03"/>
    <w:rsid w:val="00480832"/>
    <w:rsid w:val="004874CC"/>
    <w:rsid w:val="004901ED"/>
    <w:rsid w:val="00492AB4"/>
    <w:rsid w:val="00494C0F"/>
    <w:rsid w:val="004A12EE"/>
    <w:rsid w:val="004A2437"/>
    <w:rsid w:val="004A3618"/>
    <w:rsid w:val="004B3438"/>
    <w:rsid w:val="004B624B"/>
    <w:rsid w:val="004B6C59"/>
    <w:rsid w:val="004B7CD5"/>
    <w:rsid w:val="004C0A53"/>
    <w:rsid w:val="004C4F82"/>
    <w:rsid w:val="004D234C"/>
    <w:rsid w:val="004E1D02"/>
    <w:rsid w:val="004E41B0"/>
    <w:rsid w:val="004E5F39"/>
    <w:rsid w:val="004E7926"/>
    <w:rsid w:val="004F0CBE"/>
    <w:rsid w:val="004F0DBC"/>
    <w:rsid w:val="004F2282"/>
    <w:rsid w:val="004F4DD1"/>
    <w:rsid w:val="005048CB"/>
    <w:rsid w:val="00504FB4"/>
    <w:rsid w:val="0050526A"/>
    <w:rsid w:val="005125E9"/>
    <w:rsid w:val="00522E37"/>
    <w:rsid w:val="0052300B"/>
    <w:rsid w:val="005363F4"/>
    <w:rsid w:val="00540BB0"/>
    <w:rsid w:val="00540EDD"/>
    <w:rsid w:val="00541B64"/>
    <w:rsid w:val="00543A0F"/>
    <w:rsid w:val="005450B9"/>
    <w:rsid w:val="00545B7A"/>
    <w:rsid w:val="00546DA9"/>
    <w:rsid w:val="005524BC"/>
    <w:rsid w:val="005530A6"/>
    <w:rsid w:val="00557E8F"/>
    <w:rsid w:val="005638EB"/>
    <w:rsid w:val="00566AF7"/>
    <w:rsid w:val="0057048B"/>
    <w:rsid w:val="0057168E"/>
    <w:rsid w:val="0057537C"/>
    <w:rsid w:val="00575DDB"/>
    <w:rsid w:val="0058054E"/>
    <w:rsid w:val="005875A8"/>
    <w:rsid w:val="00587796"/>
    <w:rsid w:val="00594BA1"/>
    <w:rsid w:val="00596F9A"/>
    <w:rsid w:val="005973B8"/>
    <w:rsid w:val="005A09A7"/>
    <w:rsid w:val="005A2A76"/>
    <w:rsid w:val="005A7342"/>
    <w:rsid w:val="005B071E"/>
    <w:rsid w:val="005B288D"/>
    <w:rsid w:val="005B70D0"/>
    <w:rsid w:val="005B7939"/>
    <w:rsid w:val="005C67C6"/>
    <w:rsid w:val="005D14AB"/>
    <w:rsid w:val="005D1992"/>
    <w:rsid w:val="005D1EDE"/>
    <w:rsid w:val="005D436C"/>
    <w:rsid w:val="005D4B72"/>
    <w:rsid w:val="005E21D5"/>
    <w:rsid w:val="005E4D8B"/>
    <w:rsid w:val="005E5274"/>
    <w:rsid w:val="005E70C4"/>
    <w:rsid w:val="005F29C6"/>
    <w:rsid w:val="005F4D2E"/>
    <w:rsid w:val="005F523D"/>
    <w:rsid w:val="005F5DF9"/>
    <w:rsid w:val="00604CF2"/>
    <w:rsid w:val="006051BD"/>
    <w:rsid w:val="00612463"/>
    <w:rsid w:val="00620855"/>
    <w:rsid w:val="006221A1"/>
    <w:rsid w:val="00625DA5"/>
    <w:rsid w:val="00630C54"/>
    <w:rsid w:val="00631139"/>
    <w:rsid w:val="00633071"/>
    <w:rsid w:val="00634F96"/>
    <w:rsid w:val="006354B6"/>
    <w:rsid w:val="00635DDD"/>
    <w:rsid w:val="00643373"/>
    <w:rsid w:val="00643457"/>
    <w:rsid w:val="0064492D"/>
    <w:rsid w:val="006451B6"/>
    <w:rsid w:val="00646AE5"/>
    <w:rsid w:val="00650D9E"/>
    <w:rsid w:val="006549F4"/>
    <w:rsid w:val="006557FD"/>
    <w:rsid w:val="006645B9"/>
    <w:rsid w:val="00664E69"/>
    <w:rsid w:val="006752CA"/>
    <w:rsid w:val="00680309"/>
    <w:rsid w:val="00681EC4"/>
    <w:rsid w:val="0068382D"/>
    <w:rsid w:val="006A2948"/>
    <w:rsid w:val="006B22B9"/>
    <w:rsid w:val="006B373F"/>
    <w:rsid w:val="006B5DD1"/>
    <w:rsid w:val="006C3CC8"/>
    <w:rsid w:val="006C656D"/>
    <w:rsid w:val="006D3EAC"/>
    <w:rsid w:val="006D4E43"/>
    <w:rsid w:val="006E13AF"/>
    <w:rsid w:val="006E28D0"/>
    <w:rsid w:val="006E6280"/>
    <w:rsid w:val="006F5466"/>
    <w:rsid w:val="006F7F69"/>
    <w:rsid w:val="007050ED"/>
    <w:rsid w:val="00707216"/>
    <w:rsid w:val="0071477B"/>
    <w:rsid w:val="00715084"/>
    <w:rsid w:val="00715AFC"/>
    <w:rsid w:val="00723ED7"/>
    <w:rsid w:val="00723FCA"/>
    <w:rsid w:val="00725247"/>
    <w:rsid w:val="007267B6"/>
    <w:rsid w:val="0073561A"/>
    <w:rsid w:val="00742517"/>
    <w:rsid w:val="00745A6B"/>
    <w:rsid w:val="00750449"/>
    <w:rsid w:val="007600D1"/>
    <w:rsid w:val="00762E81"/>
    <w:rsid w:val="007640ED"/>
    <w:rsid w:val="0076412B"/>
    <w:rsid w:val="007646CA"/>
    <w:rsid w:val="00774CF7"/>
    <w:rsid w:val="00775F2C"/>
    <w:rsid w:val="00776BF3"/>
    <w:rsid w:val="00781B98"/>
    <w:rsid w:val="0078272D"/>
    <w:rsid w:val="007836B0"/>
    <w:rsid w:val="00785234"/>
    <w:rsid w:val="0079070A"/>
    <w:rsid w:val="007A00FD"/>
    <w:rsid w:val="007A314E"/>
    <w:rsid w:val="007A6F09"/>
    <w:rsid w:val="007B06FD"/>
    <w:rsid w:val="007B1702"/>
    <w:rsid w:val="007B256A"/>
    <w:rsid w:val="007C70C1"/>
    <w:rsid w:val="007D09F2"/>
    <w:rsid w:val="007D2F40"/>
    <w:rsid w:val="007E0196"/>
    <w:rsid w:val="007F0381"/>
    <w:rsid w:val="007F255B"/>
    <w:rsid w:val="007F28FB"/>
    <w:rsid w:val="007F4E2C"/>
    <w:rsid w:val="0080017E"/>
    <w:rsid w:val="00802EF7"/>
    <w:rsid w:val="0080511D"/>
    <w:rsid w:val="00806E4E"/>
    <w:rsid w:val="00807564"/>
    <w:rsid w:val="00807959"/>
    <w:rsid w:val="00816924"/>
    <w:rsid w:val="008255FB"/>
    <w:rsid w:val="008258DA"/>
    <w:rsid w:val="0083762F"/>
    <w:rsid w:val="00841C13"/>
    <w:rsid w:val="00843507"/>
    <w:rsid w:val="008466DE"/>
    <w:rsid w:val="00846CEB"/>
    <w:rsid w:val="00850D44"/>
    <w:rsid w:val="00851B5E"/>
    <w:rsid w:val="00853337"/>
    <w:rsid w:val="008545C5"/>
    <w:rsid w:val="00854D14"/>
    <w:rsid w:val="00857C4B"/>
    <w:rsid w:val="00863C40"/>
    <w:rsid w:val="008744BC"/>
    <w:rsid w:val="00876F6C"/>
    <w:rsid w:val="00887070"/>
    <w:rsid w:val="00890BC2"/>
    <w:rsid w:val="008912AD"/>
    <w:rsid w:val="008962FE"/>
    <w:rsid w:val="008A3574"/>
    <w:rsid w:val="008A3829"/>
    <w:rsid w:val="008A4488"/>
    <w:rsid w:val="008B11B9"/>
    <w:rsid w:val="008B38C2"/>
    <w:rsid w:val="008B4504"/>
    <w:rsid w:val="008B4FA5"/>
    <w:rsid w:val="008B7669"/>
    <w:rsid w:val="008C1686"/>
    <w:rsid w:val="008D080C"/>
    <w:rsid w:val="008D12DD"/>
    <w:rsid w:val="008E6675"/>
    <w:rsid w:val="008F5140"/>
    <w:rsid w:val="008F6997"/>
    <w:rsid w:val="00900E00"/>
    <w:rsid w:val="009013C8"/>
    <w:rsid w:val="009016D5"/>
    <w:rsid w:val="00903261"/>
    <w:rsid w:val="0090403B"/>
    <w:rsid w:val="00913E26"/>
    <w:rsid w:val="00915BED"/>
    <w:rsid w:val="00917B26"/>
    <w:rsid w:val="00921283"/>
    <w:rsid w:val="00924682"/>
    <w:rsid w:val="00925542"/>
    <w:rsid w:val="0092795D"/>
    <w:rsid w:val="00931676"/>
    <w:rsid w:val="00937568"/>
    <w:rsid w:val="00945896"/>
    <w:rsid w:val="009545AF"/>
    <w:rsid w:val="00962BD9"/>
    <w:rsid w:val="0096645A"/>
    <w:rsid w:val="00970724"/>
    <w:rsid w:val="009761D3"/>
    <w:rsid w:val="00983554"/>
    <w:rsid w:val="00985F04"/>
    <w:rsid w:val="009969EC"/>
    <w:rsid w:val="009A05BA"/>
    <w:rsid w:val="009A3230"/>
    <w:rsid w:val="009A4D71"/>
    <w:rsid w:val="009B1C7E"/>
    <w:rsid w:val="009B6935"/>
    <w:rsid w:val="009C0B84"/>
    <w:rsid w:val="009C144E"/>
    <w:rsid w:val="009D2013"/>
    <w:rsid w:val="009D2BAB"/>
    <w:rsid w:val="009D3A30"/>
    <w:rsid w:val="009D6A4A"/>
    <w:rsid w:val="009E60A3"/>
    <w:rsid w:val="009E728B"/>
    <w:rsid w:val="009F1B70"/>
    <w:rsid w:val="009F39C0"/>
    <w:rsid w:val="009F563A"/>
    <w:rsid w:val="009F5818"/>
    <w:rsid w:val="00A00CCB"/>
    <w:rsid w:val="00A100DC"/>
    <w:rsid w:val="00A135A8"/>
    <w:rsid w:val="00A2016B"/>
    <w:rsid w:val="00A20B62"/>
    <w:rsid w:val="00A21E9E"/>
    <w:rsid w:val="00A23F35"/>
    <w:rsid w:val="00A2507A"/>
    <w:rsid w:val="00A274EA"/>
    <w:rsid w:val="00A345A9"/>
    <w:rsid w:val="00A34C96"/>
    <w:rsid w:val="00A36780"/>
    <w:rsid w:val="00A43812"/>
    <w:rsid w:val="00A44407"/>
    <w:rsid w:val="00A530BE"/>
    <w:rsid w:val="00A6547B"/>
    <w:rsid w:val="00A67F5E"/>
    <w:rsid w:val="00A749EE"/>
    <w:rsid w:val="00A905AC"/>
    <w:rsid w:val="00A93AAD"/>
    <w:rsid w:val="00AA41F0"/>
    <w:rsid w:val="00AA6B4F"/>
    <w:rsid w:val="00AB10BF"/>
    <w:rsid w:val="00AC1312"/>
    <w:rsid w:val="00AD1C67"/>
    <w:rsid w:val="00AE4AA9"/>
    <w:rsid w:val="00AE4C49"/>
    <w:rsid w:val="00AF4B29"/>
    <w:rsid w:val="00AF4E59"/>
    <w:rsid w:val="00AF5F34"/>
    <w:rsid w:val="00AF5FB8"/>
    <w:rsid w:val="00B0075D"/>
    <w:rsid w:val="00B03A61"/>
    <w:rsid w:val="00B111A0"/>
    <w:rsid w:val="00B13CD2"/>
    <w:rsid w:val="00B15E22"/>
    <w:rsid w:val="00B20DFB"/>
    <w:rsid w:val="00B22E8A"/>
    <w:rsid w:val="00B244DD"/>
    <w:rsid w:val="00B25A9E"/>
    <w:rsid w:val="00B31778"/>
    <w:rsid w:val="00B3601A"/>
    <w:rsid w:val="00B37EBC"/>
    <w:rsid w:val="00B4158E"/>
    <w:rsid w:val="00B441E4"/>
    <w:rsid w:val="00B44898"/>
    <w:rsid w:val="00B521CC"/>
    <w:rsid w:val="00B52FBB"/>
    <w:rsid w:val="00B574E9"/>
    <w:rsid w:val="00B641B2"/>
    <w:rsid w:val="00B64F5C"/>
    <w:rsid w:val="00B6570D"/>
    <w:rsid w:val="00B67B98"/>
    <w:rsid w:val="00B773B8"/>
    <w:rsid w:val="00B8408E"/>
    <w:rsid w:val="00BA6044"/>
    <w:rsid w:val="00BA7DB8"/>
    <w:rsid w:val="00BB4A54"/>
    <w:rsid w:val="00BB6117"/>
    <w:rsid w:val="00BC3D19"/>
    <w:rsid w:val="00BC4042"/>
    <w:rsid w:val="00BC47BA"/>
    <w:rsid w:val="00BE1AC5"/>
    <w:rsid w:val="00BE3979"/>
    <w:rsid w:val="00BF11AE"/>
    <w:rsid w:val="00BF25CC"/>
    <w:rsid w:val="00BF4D80"/>
    <w:rsid w:val="00C01A3E"/>
    <w:rsid w:val="00C036EA"/>
    <w:rsid w:val="00C03B5D"/>
    <w:rsid w:val="00C05974"/>
    <w:rsid w:val="00C112A6"/>
    <w:rsid w:val="00C11458"/>
    <w:rsid w:val="00C11499"/>
    <w:rsid w:val="00C12AD2"/>
    <w:rsid w:val="00C21654"/>
    <w:rsid w:val="00C24D70"/>
    <w:rsid w:val="00C27800"/>
    <w:rsid w:val="00C27FAE"/>
    <w:rsid w:val="00C32F2E"/>
    <w:rsid w:val="00C35BFE"/>
    <w:rsid w:val="00C377ED"/>
    <w:rsid w:val="00C623FB"/>
    <w:rsid w:val="00C676EE"/>
    <w:rsid w:val="00C67A1E"/>
    <w:rsid w:val="00C72335"/>
    <w:rsid w:val="00C747EC"/>
    <w:rsid w:val="00C8772B"/>
    <w:rsid w:val="00C92FF9"/>
    <w:rsid w:val="00C938D0"/>
    <w:rsid w:val="00CB3CA3"/>
    <w:rsid w:val="00CB794D"/>
    <w:rsid w:val="00CB7E53"/>
    <w:rsid w:val="00CC442F"/>
    <w:rsid w:val="00CC64D1"/>
    <w:rsid w:val="00CC65D9"/>
    <w:rsid w:val="00CC7822"/>
    <w:rsid w:val="00CC7E5F"/>
    <w:rsid w:val="00CD2365"/>
    <w:rsid w:val="00CD56CF"/>
    <w:rsid w:val="00CE487C"/>
    <w:rsid w:val="00CE4AB6"/>
    <w:rsid w:val="00CE69F3"/>
    <w:rsid w:val="00CF08E3"/>
    <w:rsid w:val="00CF48A1"/>
    <w:rsid w:val="00CF56C3"/>
    <w:rsid w:val="00CF5ECC"/>
    <w:rsid w:val="00D0187A"/>
    <w:rsid w:val="00D055B3"/>
    <w:rsid w:val="00D06AA6"/>
    <w:rsid w:val="00D1402C"/>
    <w:rsid w:val="00D14350"/>
    <w:rsid w:val="00D1721E"/>
    <w:rsid w:val="00D216BD"/>
    <w:rsid w:val="00D21A79"/>
    <w:rsid w:val="00D228F6"/>
    <w:rsid w:val="00D31E88"/>
    <w:rsid w:val="00D320B8"/>
    <w:rsid w:val="00D35BB2"/>
    <w:rsid w:val="00D35FF7"/>
    <w:rsid w:val="00D371C9"/>
    <w:rsid w:val="00D41422"/>
    <w:rsid w:val="00D50139"/>
    <w:rsid w:val="00D52629"/>
    <w:rsid w:val="00D528BC"/>
    <w:rsid w:val="00D52E43"/>
    <w:rsid w:val="00D616C5"/>
    <w:rsid w:val="00D62489"/>
    <w:rsid w:val="00D62DDE"/>
    <w:rsid w:val="00D66B25"/>
    <w:rsid w:val="00D70CC3"/>
    <w:rsid w:val="00D75994"/>
    <w:rsid w:val="00D80BEA"/>
    <w:rsid w:val="00D84E1C"/>
    <w:rsid w:val="00D85097"/>
    <w:rsid w:val="00D87B96"/>
    <w:rsid w:val="00D94D3D"/>
    <w:rsid w:val="00D9586E"/>
    <w:rsid w:val="00DA12EA"/>
    <w:rsid w:val="00DB14F4"/>
    <w:rsid w:val="00DB4789"/>
    <w:rsid w:val="00DC3D8D"/>
    <w:rsid w:val="00DC6CBD"/>
    <w:rsid w:val="00DD0E55"/>
    <w:rsid w:val="00DD3337"/>
    <w:rsid w:val="00DD3D31"/>
    <w:rsid w:val="00DD4AC4"/>
    <w:rsid w:val="00DE0DAA"/>
    <w:rsid w:val="00DE681D"/>
    <w:rsid w:val="00DF01F8"/>
    <w:rsid w:val="00DF4E05"/>
    <w:rsid w:val="00E076F8"/>
    <w:rsid w:val="00E12821"/>
    <w:rsid w:val="00E1526E"/>
    <w:rsid w:val="00E205EA"/>
    <w:rsid w:val="00E24E3B"/>
    <w:rsid w:val="00E26162"/>
    <w:rsid w:val="00E273BF"/>
    <w:rsid w:val="00E316B7"/>
    <w:rsid w:val="00E34B79"/>
    <w:rsid w:val="00E3669A"/>
    <w:rsid w:val="00E46720"/>
    <w:rsid w:val="00E475CD"/>
    <w:rsid w:val="00E53F75"/>
    <w:rsid w:val="00E559E6"/>
    <w:rsid w:val="00E60EFA"/>
    <w:rsid w:val="00E61E40"/>
    <w:rsid w:val="00E62C18"/>
    <w:rsid w:val="00E702C3"/>
    <w:rsid w:val="00E74B22"/>
    <w:rsid w:val="00E8078A"/>
    <w:rsid w:val="00E8255F"/>
    <w:rsid w:val="00E840CA"/>
    <w:rsid w:val="00E84CD9"/>
    <w:rsid w:val="00E86725"/>
    <w:rsid w:val="00E87501"/>
    <w:rsid w:val="00E918F7"/>
    <w:rsid w:val="00E9243F"/>
    <w:rsid w:val="00E92C57"/>
    <w:rsid w:val="00EA207B"/>
    <w:rsid w:val="00EA5B0B"/>
    <w:rsid w:val="00EA60A8"/>
    <w:rsid w:val="00EA6E41"/>
    <w:rsid w:val="00EA7F08"/>
    <w:rsid w:val="00EB0343"/>
    <w:rsid w:val="00EB3182"/>
    <w:rsid w:val="00EC0987"/>
    <w:rsid w:val="00ED4386"/>
    <w:rsid w:val="00ED4635"/>
    <w:rsid w:val="00ED70F9"/>
    <w:rsid w:val="00ED79AA"/>
    <w:rsid w:val="00EE0D0B"/>
    <w:rsid w:val="00EE1581"/>
    <w:rsid w:val="00EE5553"/>
    <w:rsid w:val="00EE5875"/>
    <w:rsid w:val="00EE5E9F"/>
    <w:rsid w:val="00EE7382"/>
    <w:rsid w:val="00F000AA"/>
    <w:rsid w:val="00F0254E"/>
    <w:rsid w:val="00F04997"/>
    <w:rsid w:val="00F10CEF"/>
    <w:rsid w:val="00F1327C"/>
    <w:rsid w:val="00F15C7E"/>
    <w:rsid w:val="00F233AA"/>
    <w:rsid w:val="00F2416A"/>
    <w:rsid w:val="00F24DB1"/>
    <w:rsid w:val="00F34F8B"/>
    <w:rsid w:val="00F37C16"/>
    <w:rsid w:val="00F41BF5"/>
    <w:rsid w:val="00F55456"/>
    <w:rsid w:val="00F57065"/>
    <w:rsid w:val="00F640A2"/>
    <w:rsid w:val="00F64982"/>
    <w:rsid w:val="00F66BEB"/>
    <w:rsid w:val="00F7390D"/>
    <w:rsid w:val="00F75470"/>
    <w:rsid w:val="00F76F0C"/>
    <w:rsid w:val="00F91167"/>
    <w:rsid w:val="00F91DEA"/>
    <w:rsid w:val="00F96BAA"/>
    <w:rsid w:val="00FA03BD"/>
    <w:rsid w:val="00FA1F3E"/>
    <w:rsid w:val="00FA30A9"/>
    <w:rsid w:val="00FA6FC5"/>
    <w:rsid w:val="00FB0652"/>
    <w:rsid w:val="00FB154F"/>
    <w:rsid w:val="00FB46A5"/>
    <w:rsid w:val="00FD19F2"/>
    <w:rsid w:val="00FD4E04"/>
    <w:rsid w:val="00FD7955"/>
    <w:rsid w:val="00FE072A"/>
    <w:rsid w:val="00FE6A19"/>
    <w:rsid w:val="00FF3EB9"/>
    <w:rsid w:val="00FF4695"/>
    <w:rsid w:val="00FF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6C61C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1D02"/>
    <w:rPr>
      <w:sz w:val="24"/>
      <w:szCs w:val="24"/>
    </w:rPr>
  </w:style>
  <w:style w:type="paragraph" w:styleId="berschrift2">
    <w:name w:val="heading 2"/>
    <w:basedOn w:val="Standard"/>
    <w:link w:val="berschrift2Zchn"/>
    <w:uiPriority w:val="99"/>
    <w:qFormat/>
    <w:rsid w:val="004E1D02"/>
    <w:pPr>
      <w:spacing w:before="100" w:beforeAutospacing="1" w:after="100" w:afterAutospacing="1"/>
      <w:outlineLvl w:val="1"/>
    </w:pPr>
    <w:rPr>
      <w:rFonts w:ascii="Arial" w:hAnsi="Arial" w:cs="Arial"/>
      <w:b/>
      <w:bCs/>
      <w:color w:val="000000"/>
      <w:sz w:val="30"/>
      <w:szCs w:val="3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1">
    <w:name w:val="Table Normal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erschrift2Zchn">
    <w:name w:val="Überschrift 2 Zchn"/>
    <w:basedOn w:val="Absatz-Standardschriftart"/>
    <w:link w:val="berschrift2"/>
    <w:uiPriority w:val="99"/>
    <w:semiHidden/>
    <w:locked/>
    <w:rsid w:val="008B4504"/>
    <w:rPr>
      <w:rFonts w:ascii="Cambria" w:hAnsi="Cambria" w:cs="Times New Roman"/>
      <w:b/>
      <w:bCs/>
      <w:i/>
      <w:iCs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4E1D02"/>
    <w:pPr>
      <w:spacing w:line="480" w:lineRule="auto"/>
      <w:jc w:val="both"/>
    </w:pPr>
    <w:rPr>
      <w:szCs w:val="20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8B4504"/>
    <w:rPr>
      <w:rFonts w:cs="Times New Roman"/>
      <w:sz w:val="24"/>
      <w:szCs w:val="24"/>
    </w:rPr>
  </w:style>
  <w:style w:type="paragraph" w:styleId="StandardWeb">
    <w:name w:val="Normal (Web)"/>
    <w:basedOn w:val="Standard"/>
    <w:uiPriority w:val="99"/>
    <w:rsid w:val="004E1D02"/>
    <w:pPr>
      <w:spacing w:before="100" w:beforeAutospacing="1" w:after="100" w:afterAutospacing="1"/>
    </w:pPr>
    <w:rPr>
      <w:color w:val="000000"/>
    </w:rPr>
  </w:style>
  <w:style w:type="character" w:styleId="Hyperlink">
    <w:name w:val="Hyperlink"/>
    <w:basedOn w:val="Absatz-Standardschriftart"/>
    <w:uiPriority w:val="99"/>
    <w:rsid w:val="004E1D02"/>
    <w:rPr>
      <w:rFonts w:cs="Times New Roman"/>
      <w:color w:val="0000FF"/>
      <w:u w:val="single"/>
    </w:rPr>
  </w:style>
  <w:style w:type="paragraph" w:styleId="Textkrper2">
    <w:name w:val="Body Text 2"/>
    <w:basedOn w:val="Standard"/>
    <w:link w:val="Textkrper2Zchn"/>
    <w:uiPriority w:val="99"/>
    <w:rsid w:val="004E1D02"/>
    <w:rPr>
      <w:rFonts w:ascii="Arial" w:hAnsi="Arial" w:cs="Arial"/>
      <w:b/>
      <w:bCs/>
      <w:sz w:val="22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8B4504"/>
    <w:rPr>
      <w:rFonts w:cs="Times New Roman"/>
      <w:sz w:val="24"/>
      <w:szCs w:val="24"/>
    </w:rPr>
  </w:style>
  <w:style w:type="paragraph" w:customStyle="1" w:styleId="affiliation">
    <w:name w:val="affiliation"/>
    <w:basedOn w:val="Standard"/>
    <w:uiPriority w:val="99"/>
    <w:rsid w:val="004E1D02"/>
    <w:rPr>
      <w:color w:val="000000"/>
    </w:rPr>
  </w:style>
  <w:style w:type="character" w:customStyle="1" w:styleId="ti2">
    <w:name w:val="ti2"/>
    <w:basedOn w:val="Absatz-Standardschriftart"/>
    <w:uiPriority w:val="99"/>
    <w:rsid w:val="004E1D02"/>
    <w:rPr>
      <w:rFonts w:cs="Times New Roman"/>
    </w:rPr>
  </w:style>
  <w:style w:type="character" w:customStyle="1" w:styleId="featuredlinkouts">
    <w:name w:val="featured_linkouts"/>
    <w:basedOn w:val="Absatz-Standardschriftart"/>
    <w:uiPriority w:val="99"/>
    <w:rsid w:val="004E1D02"/>
    <w:rPr>
      <w:rFonts w:cs="Times New Roman"/>
    </w:rPr>
  </w:style>
  <w:style w:type="character" w:customStyle="1" w:styleId="linkbar">
    <w:name w:val="linkbar"/>
    <w:basedOn w:val="Absatz-Standardschriftart"/>
    <w:uiPriority w:val="99"/>
    <w:rsid w:val="004E1D02"/>
    <w:rPr>
      <w:rFonts w:cs="Times New Roman"/>
    </w:rPr>
  </w:style>
  <w:style w:type="character" w:styleId="BesuchterLink">
    <w:name w:val="FollowedHyperlink"/>
    <w:basedOn w:val="Absatz-Standardschriftart"/>
    <w:uiPriority w:val="99"/>
    <w:rsid w:val="004E1D02"/>
    <w:rPr>
      <w:rFonts w:cs="Times New Roman"/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4E1D0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8B4504"/>
    <w:rPr>
      <w:rFonts w:cs="Times New Roman"/>
      <w:sz w:val="2"/>
    </w:rPr>
  </w:style>
  <w:style w:type="paragraph" w:styleId="Titel">
    <w:name w:val="Title"/>
    <w:basedOn w:val="Standard"/>
    <w:next w:val="Standard"/>
    <w:link w:val="TitelZchn"/>
    <w:uiPriority w:val="99"/>
    <w:qFormat/>
    <w:rsid w:val="005638EB"/>
    <w:pPr>
      <w:pBdr>
        <w:bottom w:val="single" w:sz="8" w:space="4" w:color="2DA2BF"/>
      </w:pBdr>
      <w:spacing w:after="300"/>
      <w:contextualSpacing/>
    </w:pPr>
    <w:rPr>
      <w:rFonts w:ascii="Lucida Sans Unicode" w:hAnsi="Lucida Sans Unicode"/>
      <w:color w:val="343434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99"/>
    <w:locked/>
    <w:rsid w:val="005638EB"/>
    <w:rPr>
      <w:rFonts w:ascii="Lucida Sans Unicode" w:hAnsi="Lucida Sans Unicode" w:cs="Times New Roman"/>
      <w:color w:val="343434"/>
      <w:spacing w:val="5"/>
      <w:kern w:val="28"/>
      <w:sz w:val="52"/>
      <w:szCs w:val="52"/>
    </w:rPr>
  </w:style>
  <w:style w:type="paragraph" w:styleId="Kopfzeile">
    <w:name w:val="header"/>
    <w:basedOn w:val="Standard"/>
    <w:link w:val="KopfzeileZchn"/>
    <w:uiPriority w:val="99"/>
    <w:rsid w:val="004E1D0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8B4504"/>
    <w:rPr>
      <w:rFonts w:cs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4E1D0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8B4504"/>
    <w:rPr>
      <w:rFonts w:cs="Times New Roman"/>
      <w:sz w:val="24"/>
      <w:szCs w:val="24"/>
    </w:rPr>
  </w:style>
  <w:style w:type="paragraph" w:styleId="berarbeitung">
    <w:name w:val="Revision"/>
    <w:hidden/>
    <w:uiPriority w:val="99"/>
    <w:semiHidden/>
    <w:rsid w:val="00E53F75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43558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7B06F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7B06F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7B06F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B06F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B06FD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unhideWhenUsed/>
    <w:rsid w:val="00B67B98"/>
    <w:rPr>
      <w:color w:val="605E5C"/>
      <w:shd w:val="clear" w:color="auto" w:fill="E1DFDD"/>
    </w:rPr>
  </w:style>
  <w:style w:type="character" w:styleId="Erwhnung">
    <w:name w:val="Mention"/>
    <w:basedOn w:val="Absatz-Standardschriftart"/>
    <w:uiPriority w:val="99"/>
    <w:unhideWhenUsed/>
    <w:rsid w:val="00B67B9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924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0BEA608-7FB3-4A3A-B163-87D3065FCD5D}">
  <we:reference id="WA200010453" version="1.0.0.1" store="Omex" storeType="OMEX"/>
  <we:alternateReferences>
    <we:reference id="WA200010453" version="1.0.0.1" store="WA200010453" storeType="OMEX"/>
  </we:alternateReferences>
  <we:properties>
    <we:property name="claude.fileId" value="&quot;b22c5204-a3f8-4265-b208-d153c7e74cf3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1ee89e71-04cd-405e-9ca3-99e020c1694d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 xmlns="44a56295-c29e-4898-8136-a54736c65b82" xsi:nil="true"/>
    <Descriptions xmlns="44a56295-c29e-4898-8136-a54736c65b82" xsi:nil="true"/>
    <SharedWithUsers xmlns="4301684f-1559-4d3f-bfff-e8a8e3893d45">
      <UserInfo>
        <DisplayName/>
        <AccountId xsi:nil="true"/>
        <AccountType/>
      </UserInfo>
    </SharedWithUsers>
    <lcf76f155ced4ddcb4097134ff3c332f xmlns="f346cd05-0f46-482e-b96e-e3a44d77373a">
      <Terms xmlns="http://schemas.microsoft.com/office/infopath/2007/PartnerControls"/>
    </lcf76f155ced4ddcb4097134ff3c332f>
    <TaxCatchAll xmlns="4301684f-1559-4d3f-bfff-e8a8e3893d4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7194956963F84CB325FA1B62EF5F57" ma:contentTypeVersion="18" ma:contentTypeDescription="Create a new document." ma:contentTypeScope="" ma:versionID="875e8f8aaf09d8d9100c1f7d684effe7">
  <xsd:schema xmlns:xsd="http://www.w3.org/2001/XMLSchema" xmlns:xs="http://www.w3.org/2001/XMLSchema" xmlns:p="http://schemas.microsoft.com/office/2006/metadata/properties" xmlns:ns2="44a56295-c29e-4898-8136-a54736c65b82" xmlns:ns3="f346cd05-0f46-482e-b96e-e3a44d77373a" xmlns:ns4="4301684f-1559-4d3f-bfff-e8a8e3893d45" targetNamespace="http://schemas.microsoft.com/office/2006/metadata/properties" ma:root="true" ma:fieldsID="b44255f533947abcae651fc960a0b1d8" ns2:_="" ns3:_="" ns4:_="">
    <xsd:import namespace="44a56295-c29e-4898-8136-a54736c65b82"/>
    <xsd:import namespace="f346cd05-0f46-482e-b96e-e3a44d77373a"/>
    <xsd:import namespace="4301684f-1559-4d3f-bfff-e8a8e3893d45"/>
    <xsd:element name="properties">
      <xsd:complexType>
        <xsd:sequence>
          <xsd:element name="documentManagement">
            <xsd:complexType>
              <xsd:all>
                <xsd:element ref="ns2:Descriptions" minOccurs="0"/>
                <xsd:element ref="ns2:Keywor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4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6cd05-0f46-482e-b96e-e3a44d773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ee89e71-04cd-405e-9ca3-99e020c1694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01684f-1559-4d3f-bfff-e8a8e3893d4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cd8633b-6f02-4a8c-8cf1-4be26ad0fb31}" ma:internalName="TaxCatchAll" ma:showField="CatchAllData" ma:web="4301684f-1559-4d3f-bfff-e8a8e3893d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E3D154-200A-4B2D-8C48-644344509C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417629-FA29-44DF-BAA5-4056CE27BAEC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2308DF1-3F8C-490A-B254-2E365673BFD0}">
  <ds:schemaRefs>
    <ds:schemaRef ds:uri="http://schemas.microsoft.com/office/2006/metadata/properties"/>
    <ds:schemaRef ds:uri="http://schemas.microsoft.com/office/infopath/2007/PartnerControls"/>
    <ds:schemaRef ds:uri="44a56295-c29e-4898-8136-a54736c65b82"/>
    <ds:schemaRef ds:uri="4301684f-1559-4d3f-bfff-e8a8e3893d45"/>
    <ds:schemaRef ds:uri="f346cd05-0f46-482e-b96e-e3a44d77373a"/>
  </ds:schemaRefs>
</ds:datastoreItem>
</file>

<file path=customXml/itemProps4.xml><?xml version="1.0" encoding="utf-8"?>
<ds:datastoreItem xmlns:ds="http://schemas.openxmlformats.org/officeDocument/2006/customXml" ds:itemID="{190F68BB-CC57-41EF-BE8B-5F36538F9E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56295-c29e-4898-8136-a54736c65b82"/>
    <ds:schemaRef ds:uri="f346cd05-0f46-482e-b96e-e3a44d77373a"/>
    <ds:schemaRef ds:uri="4301684f-1559-4d3f-bfff-e8a8e3893d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1110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Links>
    <vt:vector size="6" baseType="variant">
      <vt:variant>
        <vt:i4>1245300</vt:i4>
      </vt:variant>
      <vt:variant>
        <vt:i4>0</vt:i4>
      </vt:variant>
      <vt:variant>
        <vt:i4>0</vt:i4>
      </vt:variant>
      <vt:variant>
        <vt:i4>5</vt:i4>
      </vt:variant>
      <vt:variant>
        <vt:lpwstr>http://www.dgho.de/_cmsdata/_cache/cms_19.html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2026-09-04T10:13:00Z</dcterms:created>
  <dcterms:modified xsi:type="dcterms:W3CDTF">2026-09-04T10:15:00Z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60600</vt:r8>
  </property>
  <property fmtid="{D5CDD505-2E9C-101B-9397-08002B2CF9AE}" pid="3" name="MediaServiceImageTags">
    <vt:lpwstr/>
  </property>
  <property fmtid="{D5CDD505-2E9C-101B-9397-08002B2CF9AE}" pid="4" name="ContentTypeId">
    <vt:lpwstr>0x010100F77194956963F84CB325FA1B62EF5F57</vt:lpwstr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