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42848E" w14:textId="77777777" w:rsidTr="7EB6C962">
        <w:tc>
          <w:tcPr>
            <w:tcW w:w="9212" w:type="dxa"/>
          </w:tcPr>
          <w:p w14:paraId="3856C14D" w14:textId="77777777" w:rsidR="008E6675" w:rsidRPr="005638EB" w:rsidRDefault="513A1535" w:rsidP="7EB6C962">
            <w:pPr>
              <w:rPr>
                <w:rFonts w:ascii="Arial Narrow" w:hAnsi="Arial Narrow"/>
                <w:b/>
                <w:bCs/>
              </w:rPr>
            </w:pPr>
            <w:r w:rsidRPr="7EB6C962">
              <w:rPr>
                <w:rFonts w:ascii="Arial Narrow" w:hAnsi="Arial Narrow"/>
                <w:b/>
                <w:bCs/>
                <w:sz w:val="22"/>
                <w:szCs w:val="22"/>
              </w:rPr>
              <w:t xml:space="preserve">Haben Sie externe Hilfestellungen </w:t>
            </w:r>
            <w:r w:rsidR="148C915D" w:rsidRPr="7EB6C962">
              <w:rPr>
                <w:rFonts w:ascii="Arial Narrow" w:hAnsi="Arial Narrow"/>
                <w:b/>
                <w:bCs/>
                <w:sz w:val="22"/>
                <w:szCs w:val="22"/>
              </w:rPr>
              <w:t xml:space="preserve">zum Ausfüllen der Formblätter </w:t>
            </w:r>
            <w:r w:rsidRPr="7EB6C962">
              <w:rPr>
                <w:rFonts w:ascii="Arial Narrow" w:hAnsi="Arial Narrow"/>
                <w:b/>
                <w:bCs/>
                <w:sz w:val="22"/>
                <w:szCs w:val="22"/>
              </w:rPr>
              <w:t>in Anspruch genommen</w:t>
            </w:r>
            <w:r w:rsidR="087CBC86" w:rsidRPr="7EB6C962">
              <w:rPr>
                <w:rFonts w:ascii="Arial Narrow" w:hAnsi="Arial Narrow"/>
                <w:b/>
                <w:bCs/>
                <w:sz w:val="22"/>
                <w:szCs w:val="22"/>
              </w:rPr>
              <w:t>?</w:t>
            </w:r>
            <w:r w:rsidRPr="7EB6C962">
              <w:rPr>
                <w:rFonts w:ascii="Arial Narrow" w:hAnsi="Arial Narrow"/>
                <w:b/>
                <w:bCs/>
                <w:sz w:val="22"/>
                <w:szCs w:val="22"/>
              </w:rPr>
              <w:t xml:space="preserve">  Wenn ja, bitte geben Sie an, welche Hilfestellung</w:t>
            </w:r>
            <w:r w:rsidR="087CBC86" w:rsidRPr="7EB6C962">
              <w:rPr>
                <w:rFonts w:ascii="Arial Narrow" w:hAnsi="Arial Narrow"/>
                <w:b/>
                <w:bCs/>
                <w:sz w:val="22"/>
                <w:szCs w:val="22"/>
              </w:rPr>
              <w:t xml:space="preserve"> Sie in Anspruch genommen haben</w:t>
            </w:r>
            <w:r w:rsidRPr="7EB6C962">
              <w:rPr>
                <w:rFonts w:ascii="Arial Narrow" w:hAnsi="Arial Narrow"/>
                <w:b/>
                <w:bCs/>
                <w:sz w:val="22"/>
                <w:szCs w:val="22"/>
              </w:rPr>
              <w:t>?</w:t>
            </w:r>
          </w:p>
        </w:tc>
      </w:tr>
      <w:tr w:rsidR="008E6675" w:rsidRPr="005638EB" w14:paraId="2315EEB9" w14:textId="77777777" w:rsidTr="7EB6C962">
        <w:tc>
          <w:tcPr>
            <w:tcW w:w="9212" w:type="dxa"/>
          </w:tcPr>
          <w:p w14:paraId="59E436C4" w14:textId="2F84FC94" w:rsidR="008E6675" w:rsidRPr="005638EB" w:rsidRDefault="00C6628D" w:rsidP="005638EB">
            <w:pPr>
              <w:rPr>
                <w:rFonts w:ascii="Arial Narrow" w:hAnsi="Arial Narrow"/>
              </w:rPr>
            </w:pPr>
            <w:r>
              <w:rPr>
                <w:rFonts w:ascii="Arial Narrow" w:hAnsi="Arial Narrow"/>
                <w:sz w:val="22"/>
              </w:rPr>
              <w:t>Dieses Formular enthält Formulierungsvorschläge der AstraZeneca GmbH.</w:t>
            </w:r>
          </w:p>
        </w:tc>
      </w:tr>
    </w:tbl>
    <w:p w14:paraId="1B73E9CE" w14:textId="77777777" w:rsidR="008E6675" w:rsidRPr="005638EB" w:rsidRDefault="008E6675" w:rsidP="005638EB">
      <w:pPr>
        <w:rPr>
          <w:rFonts w:ascii="Arial Narrow" w:hAnsi="Arial Narrow"/>
        </w:rPr>
      </w:pPr>
    </w:p>
    <w:tbl>
      <w:tblPr>
        <w:tblStyle w:val="TableNormal10"/>
        <w:tblW w:w="92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9DF06E3" w14:textId="77777777" w:rsidTr="000B5149">
        <w:tc>
          <w:tcPr>
            <w:tcW w:w="9212" w:type="dxa"/>
          </w:tcPr>
          <w:p w14:paraId="48DD38F6" w14:textId="62BF7CF8" w:rsidR="008E6675" w:rsidRPr="005638EB" w:rsidRDefault="008E6675" w:rsidP="005638EB">
            <w:pPr>
              <w:rPr>
                <w:rFonts w:ascii="Arial Narrow" w:hAnsi="Arial Narrow"/>
                <w:b/>
              </w:rPr>
            </w:pPr>
            <w:r w:rsidRPr="005638EB">
              <w:rPr>
                <w:rFonts w:ascii="Arial Narrow" w:hAnsi="Arial Narrow"/>
                <w:b/>
                <w:sz w:val="22"/>
              </w:rPr>
              <w:t>Angefragte Untersuchungs- und Beh</w:t>
            </w:r>
            <w:r w:rsidR="002333FF">
              <w:rPr>
                <w:rFonts w:ascii="Arial Narrow" w:hAnsi="Arial Narrow"/>
                <w:b/>
                <w:sz w:val="22"/>
              </w:rPr>
              <w:t>andlungsmethode</w:t>
            </w:r>
          </w:p>
        </w:tc>
      </w:tr>
      <w:tr w:rsidR="000B5149" w:rsidRPr="007F255B" w14:paraId="3534B4A0" w14:textId="77777777" w:rsidTr="000B5149">
        <w:tc>
          <w:tcPr>
            <w:tcW w:w="9212" w:type="dxa"/>
          </w:tcPr>
          <w:p w14:paraId="2C182448" w14:textId="7BCDEDEF" w:rsidR="000B5149" w:rsidRPr="00394E09" w:rsidRDefault="00866539" w:rsidP="000B5149">
            <w:pPr>
              <w:rPr>
                <w:rFonts w:ascii="Arial Narrow" w:hAnsi="Arial Narrow"/>
                <w:sz w:val="22"/>
              </w:rPr>
            </w:pPr>
            <w:r w:rsidRPr="00866539">
              <w:rPr>
                <w:rFonts w:ascii="Arial Narrow" w:hAnsi="Arial Narrow"/>
                <w:sz w:val="22"/>
              </w:rPr>
              <w:t>Acalabrutinib</w:t>
            </w:r>
          </w:p>
        </w:tc>
      </w:tr>
    </w:tbl>
    <w:p w14:paraId="42022921" w14:textId="77777777" w:rsidR="008E6675" w:rsidRPr="005638EB" w:rsidRDefault="008E6675" w:rsidP="005638EB">
      <w:pPr>
        <w:rPr>
          <w:rFonts w:ascii="Arial Narrow" w:hAnsi="Arial Narrow"/>
          <w:b/>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6B6F275" w14:textId="77777777" w:rsidTr="35F30AD9">
        <w:tc>
          <w:tcPr>
            <w:tcW w:w="9212" w:type="dxa"/>
          </w:tcPr>
          <w:p w14:paraId="67F0AA02" w14:textId="4EF70D85" w:rsidR="008E6675" w:rsidRPr="005638EB" w:rsidRDefault="008E6675" w:rsidP="00596F9A">
            <w:pPr>
              <w:tabs>
                <w:tab w:val="left" w:pos="7465"/>
              </w:tabs>
              <w:rPr>
                <w:rFonts w:ascii="Arial Narrow" w:hAnsi="Arial Narrow"/>
                <w:b/>
              </w:rPr>
            </w:pPr>
            <w:r w:rsidRPr="005638EB">
              <w:rPr>
                <w:rFonts w:ascii="Arial Narrow" w:hAnsi="Arial Narrow"/>
                <w:b/>
                <w:sz w:val="22"/>
              </w:rPr>
              <w:t>Alternative Bezeichnung(en) der Methode</w:t>
            </w:r>
            <w:r>
              <w:rPr>
                <w:rFonts w:ascii="Arial Narrow" w:hAnsi="Arial Narrow"/>
                <w:b/>
                <w:sz w:val="22"/>
              </w:rPr>
              <w:tab/>
            </w:r>
          </w:p>
        </w:tc>
      </w:tr>
      <w:tr w:rsidR="008E6675" w:rsidRPr="005638EB" w14:paraId="6AA1CD49" w14:textId="77777777" w:rsidTr="35F30AD9">
        <w:tc>
          <w:tcPr>
            <w:tcW w:w="9212" w:type="dxa"/>
          </w:tcPr>
          <w:p w14:paraId="03804348" w14:textId="3FD62C18" w:rsidR="008E6675" w:rsidRPr="005638EB" w:rsidRDefault="0A85E48D" w:rsidP="005638EB">
            <w:pPr>
              <w:rPr>
                <w:rFonts w:ascii="Arial Narrow" w:hAnsi="Arial Narrow"/>
              </w:rPr>
            </w:pPr>
            <w:r w:rsidRPr="35F30AD9">
              <w:rPr>
                <w:rFonts w:ascii="Arial Narrow" w:hAnsi="Arial Narrow"/>
                <w:sz w:val="22"/>
                <w:szCs w:val="22"/>
              </w:rPr>
              <w:t>Calquence®</w:t>
            </w:r>
          </w:p>
        </w:tc>
      </w:tr>
    </w:tbl>
    <w:p w14:paraId="5C4D6932" w14:textId="77777777" w:rsidR="004C4F82" w:rsidRDefault="004C4F82"/>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4C4F82" w14:paraId="6FC43EE4" w14:textId="77777777" w:rsidTr="004C4F82">
        <w:tc>
          <w:tcPr>
            <w:tcW w:w="9212" w:type="dxa"/>
            <w:tcBorders>
              <w:top w:val="single" w:sz="4" w:space="0" w:color="auto"/>
              <w:left w:val="single" w:sz="4" w:space="0" w:color="auto"/>
              <w:bottom w:val="single" w:sz="4" w:space="0" w:color="auto"/>
              <w:right w:val="single" w:sz="4" w:space="0" w:color="auto"/>
            </w:tcBorders>
          </w:tcPr>
          <w:p w14:paraId="20C990C9" w14:textId="48FE42C0" w:rsidR="004C4F82" w:rsidRPr="004C4F82" w:rsidRDefault="004C4F82" w:rsidP="004C4F82">
            <w:pPr>
              <w:tabs>
                <w:tab w:val="left" w:pos="7465"/>
              </w:tabs>
              <w:rPr>
                <w:rFonts w:ascii="Arial Narrow" w:hAnsi="Arial Narrow"/>
                <w:b/>
                <w:sz w:val="22"/>
              </w:rPr>
            </w:pPr>
            <w:r w:rsidRPr="004C4F82">
              <w:rPr>
                <w:rFonts w:ascii="Arial Narrow" w:hAnsi="Arial Narrow"/>
                <w:b/>
                <w:sz w:val="22"/>
              </w:rPr>
              <w:t>Beruht die neue Untersuchungs- und Behandlungsmethode vollständig oder in Teilen auf dem Ei</w:t>
            </w:r>
            <w:r>
              <w:rPr>
                <w:rFonts w:ascii="Arial Narrow" w:hAnsi="Arial Narrow"/>
                <w:b/>
                <w:sz w:val="22"/>
              </w:rPr>
              <w:t>nsatz eines Medizinproduktes?</w:t>
            </w:r>
            <w:r w:rsidRPr="004C4F82">
              <w:rPr>
                <w:rFonts w:ascii="Arial Narrow" w:hAnsi="Arial Narrow"/>
                <w:b/>
                <w:sz w:val="22"/>
              </w:rPr>
              <w:tab/>
            </w:r>
          </w:p>
        </w:tc>
      </w:tr>
      <w:tr w:rsidR="004C4F82" w:rsidRPr="005638EB" w14:paraId="049FBCCE" w14:textId="77777777" w:rsidTr="004C4F82">
        <w:tc>
          <w:tcPr>
            <w:tcW w:w="9212" w:type="dxa"/>
            <w:tcBorders>
              <w:top w:val="single" w:sz="4" w:space="0" w:color="auto"/>
              <w:left w:val="single" w:sz="4" w:space="0" w:color="auto"/>
              <w:bottom w:val="single" w:sz="4" w:space="0" w:color="auto"/>
              <w:right w:val="single" w:sz="4" w:space="0" w:color="auto"/>
            </w:tcBorders>
          </w:tcPr>
          <w:p w14:paraId="5E4B2A39" w14:textId="160F0E41" w:rsidR="004C4F82" w:rsidRPr="008D07B7" w:rsidRDefault="008B7669" w:rsidP="008B7669">
            <w:pPr>
              <w:rPr>
                <w:rFonts w:ascii="Arial Narrow" w:hAnsi="Arial Narrow"/>
                <w:sz w:val="22"/>
              </w:rPr>
            </w:pPr>
            <w:r w:rsidRPr="008B7669">
              <w:rPr>
                <w:rFonts w:ascii="Arial Narrow" w:hAnsi="Arial Narrow"/>
                <w:sz w:val="22"/>
              </w:rPr>
              <w:t>[</w:t>
            </w:r>
            <w:r w:rsidRPr="0036178C">
              <w:rPr>
                <w:rFonts w:ascii="Arial Narrow" w:hAnsi="Arial Narrow"/>
                <w:sz w:val="22"/>
                <w:highlight w:val="yellow"/>
              </w:rPr>
              <w:t>nein ankreuzen</w:t>
            </w:r>
            <w:r w:rsidRPr="008B7669">
              <w:rPr>
                <w:rFonts w:ascii="Arial Narrow" w:hAnsi="Arial Narrow"/>
                <w:sz w:val="22"/>
              </w:rPr>
              <w:t>]</w:t>
            </w:r>
            <w:r w:rsidR="006C656D">
              <w:rPr>
                <w:rFonts w:ascii="Arial Narrow" w:hAnsi="Arial Narrow"/>
                <w:color w:val="00B050"/>
                <w:sz w:val="22"/>
              </w:rPr>
              <w:t xml:space="preserve"> </w:t>
            </w:r>
          </w:p>
        </w:tc>
      </w:tr>
    </w:tbl>
    <w:p w14:paraId="7F1AD41E" w14:textId="77777777" w:rsidR="008E6675"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92AB4" w:rsidRPr="005638EB" w14:paraId="5055E8B5" w14:textId="77777777" w:rsidTr="0036178C">
        <w:tc>
          <w:tcPr>
            <w:tcW w:w="9212" w:type="dxa"/>
          </w:tcPr>
          <w:p w14:paraId="43488653" w14:textId="436833FA" w:rsidR="00492AB4" w:rsidRPr="005638EB" w:rsidRDefault="00492AB4" w:rsidP="006354B6">
            <w:pPr>
              <w:tabs>
                <w:tab w:val="left" w:pos="7465"/>
              </w:tabs>
              <w:rPr>
                <w:rFonts w:ascii="Arial Narrow" w:hAnsi="Arial Narrow"/>
                <w:b/>
              </w:rPr>
            </w:pPr>
            <w:r>
              <w:rPr>
                <w:rFonts w:ascii="Arial Narrow" w:hAnsi="Arial Narrow"/>
                <w:b/>
                <w:sz w:val="22"/>
              </w:rPr>
              <w:t>Wurde für diese angefrag</w:t>
            </w:r>
            <w:r w:rsidR="00DC6CBD">
              <w:rPr>
                <w:rFonts w:ascii="Arial Narrow" w:hAnsi="Arial Narrow"/>
                <w:b/>
                <w:sz w:val="22"/>
              </w:rPr>
              <w:t>te Untersuchungs- und Behandlungsmethode von Ihrem Kranke</w:t>
            </w:r>
            <w:r w:rsidR="00DB14F4">
              <w:rPr>
                <w:rFonts w:ascii="Arial Narrow" w:hAnsi="Arial Narrow"/>
                <w:b/>
                <w:sz w:val="22"/>
              </w:rPr>
              <w:t>nhaus bereits vor dem 01.01.202</w:t>
            </w:r>
            <w:r w:rsidR="004226DE">
              <w:rPr>
                <w:rFonts w:ascii="Arial Narrow" w:hAnsi="Arial Narrow"/>
                <w:b/>
                <w:sz w:val="22"/>
              </w:rPr>
              <w:t>6</w:t>
            </w:r>
            <w:r w:rsidR="00DC6CBD">
              <w:rPr>
                <w:rFonts w:ascii="Arial Narrow" w:hAnsi="Arial Narrow"/>
                <w:b/>
                <w:sz w:val="22"/>
              </w:rPr>
              <w:t xml:space="preserve"> eine Anfrage gemäß §6 Abs. 2 KHEntG an das InEK übermittelt</w:t>
            </w:r>
            <w:r w:rsidR="002333FF">
              <w:rPr>
                <w:rFonts w:ascii="Arial Narrow" w:hAnsi="Arial Narrow"/>
                <w:b/>
                <w:sz w:val="22"/>
              </w:rPr>
              <w:t>?</w:t>
            </w:r>
          </w:p>
        </w:tc>
      </w:tr>
      <w:tr w:rsidR="00492AB4" w:rsidRPr="005638EB" w14:paraId="3F239A32" w14:textId="77777777" w:rsidTr="0036178C">
        <w:tc>
          <w:tcPr>
            <w:tcW w:w="9212" w:type="dxa"/>
          </w:tcPr>
          <w:p w14:paraId="7DD0679B" w14:textId="79511F96" w:rsidR="000B5149" w:rsidRPr="000B5149" w:rsidRDefault="00ED79AA" w:rsidP="00DB14F4">
            <w:pPr>
              <w:rPr>
                <w:rFonts w:ascii="Arial Narrow" w:hAnsi="Arial Narrow"/>
                <w:sz w:val="22"/>
                <w:highlight w:val="yellow"/>
              </w:rPr>
            </w:pPr>
            <w:r>
              <w:rPr>
                <w:rFonts w:ascii="Arial Narrow" w:hAnsi="Arial Narrow"/>
                <w:sz w:val="22"/>
                <w:highlight w:val="yellow"/>
              </w:rPr>
              <w:t>[</w:t>
            </w:r>
            <w:r w:rsidR="009B6935" w:rsidRPr="009B6935">
              <w:rPr>
                <w:rFonts w:ascii="Arial Narrow" w:hAnsi="Arial Narrow"/>
                <w:sz w:val="22"/>
                <w:highlight w:val="yellow"/>
              </w:rPr>
              <w:t xml:space="preserve">hier ja ankreuzen, falls Sie zu den Häusern gehören, die im Vorjahr eine Anfrage gestellt haben, sonst nein ankreuzen. Bei ja Anfrage aus dem Vorjahr im Datenportal auswählen. </w:t>
            </w:r>
            <w:r w:rsidR="00DB14F4" w:rsidRPr="009B6935">
              <w:rPr>
                <w:rFonts w:ascii="Arial Narrow" w:hAnsi="Arial Narrow"/>
                <w:sz w:val="22"/>
                <w:highlight w:val="yellow"/>
              </w:rPr>
              <w:t>D</w:t>
            </w:r>
            <w:r w:rsidR="006C656D" w:rsidRPr="009B6935">
              <w:rPr>
                <w:rFonts w:ascii="Arial Narrow" w:hAnsi="Arial Narrow"/>
                <w:sz w:val="22"/>
                <w:highlight w:val="yellow"/>
              </w:rPr>
              <w:t>ie Angab</w:t>
            </w:r>
            <w:r w:rsidR="00DB14F4" w:rsidRPr="009B6935">
              <w:rPr>
                <w:rFonts w:ascii="Arial Narrow" w:hAnsi="Arial Narrow"/>
                <w:sz w:val="22"/>
                <w:highlight w:val="yellow"/>
              </w:rPr>
              <w:t>e der vorangegangenen Verfahre</w:t>
            </w:r>
            <w:r w:rsidR="00BE3979" w:rsidRPr="009B6935">
              <w:rPr>
                <w:rFonts w:ascii="Arial Narrow" w:hAnsi="Arial Narrow"/>
                <w:sz w:val="22"/>
                <w:highlight w:val="yellow"/>
              </w:rPr>
              <w:t>n</w:t>
            </w:r>
            <w:r w:rsidR="00DB14F4" w:rsidRPr="009B6935">
              <w:rPr>
                <w:rFonts w:ascii="Arial Narrow" w:hAnsi="Arial Narrow"/>
                <w:sz w:val="22"/>
                <w:highlight w:val="yellow"/>
              </w:rPr>
              <w:t>s</w:t>
            </w:r>
            <w:r w:rsidR="006C656D" w:rsidRPr="009B6935">
              <w:rPr>
                <w:rFonts w:ascii="Arial Narrow" w:hAnsi="Arial Narrow"/>
                <w:sz w:val="22"/>
                <w:highlight w:val="yellow"/>
              </w:rPr>
              <w:t xml:space="preserve">nummer </w:t>
            </w:r>
            <w:r w:rsidR="00DB14F4" w:rsidRPr="009B6935">
              <w:rPr>
                <w:rFonts w:ascii="Arial Narrow" w:hAnsi="Arial Narrow"/>
                <w:sz w:val="22"/>
                <w:highlight w:val="yellow"/>
              </w:rPr>
              <w:t xml:space="preserve">ist </w:t>
            </w:r>
            <w:r w:rsidR="006C656D" w:rsidRPr="009B6935">
              <w:rPr>
                <w:rFonts w:ascii="Arial Narrow" w:hAnsi="Arial Narrow"/>
                <w:sz w:val="22"/>
                <w:highlight w:val="yellow"/>
              </w:rPr>
              <w:t xml:space="preserve">Pflicht, </w:t>
            </w:r>
            <w:r w:rsidR="00DB14F4" w:rsidRPr="009B6935">
              <w:rPr>
                <w:rFonts w:ascii="Arial Narrow" w:hAnsi="Arial Narrow"/>
                <w:sz w:val="22"/>
                <w:highlight w:val="yellow"/>
              </w:rPr>
              <w:t xml:space="preserve">diese </w:t>
            </w:r>
            <w:r w:rsidR="006C656D" w:rsidRPr="009B6935">
              <w:rPr>
                <w:rFonts w:ascii="Arial Narrow" w:hAnsi="Arial Narrow"/>
                <w:sz w:val="22"/>
                <w:highlight w:val="yellow"/>
              </w:rPr>
              <w:t xml:space="preserve">wird im Formular durch </w:t>
            </w:r>
            <w:r w:rsidR="00A274EA">
              <w:rPr>
                <w:rFonts w:ascii="Arial Narrow" w:hAnsi="Arial Narrow"/>
                <w:sz w:val="22"/>
                <w:highlight w:val="yellow"/>
              </w:rPr>
              <w:t xml:space="preserve">die </w:t>
            </w:r>
            <w:r w:rsidR="006C656D" w:rsidRPr="009B6935">
              <w:rPr>
                <w:rFonts w:ascii="Arial Narrow" w:hAnsi="Arial Narrow"/>
                <w:sz w:val="22"/>
                <w:highlight w:val="yellow"/>
              </w:rPr>
              <w:t>Suchfunktion unterstützt</w:t>
            </w:r>
            <w:r w:rsidR="00DB14F4" w:rsidRPr="009B6935">
              <w:rPr>
                <w:rFonts w:ascii="Arial Narrow" w:hAnsi="Arial Narrow"/>
                <w:sz w:val="22"/>
                <w:highlight w:val="yellow"/>
              </w:rPr>
              <w:t>]</w:t>
            </w:r>
          </w:p>
        </w:tc>
      </w:tr>
    </w:tbl>
    <w:p w14:paraId="53DF57CA" w14:textId="77777777" w:rsidR="00492AB4" w:rsidRPr="005638EB" w:rsidRDefault="00492AB4"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823808B" w14:textId="77777777" w:rsidTr="30241C16">
        <w:tc>
          <w:tcPr>
            <w:tcW w:w="9212" w:type="dxa"/>
          </w:tcPr>
          <w:p w14:paraId="3A37C23D" w14:textId="6AFD43C7" w:rsidR="008E6675" w:rsidRPr="005638EB" w:rsidRDefault="008E6675" w:rsidP="005638EB">
            <w:pPr>
              <w:rPr>
                <w:rFonts w:ascii="Arial Narrow" w:hAnsi="Arial Narrow"/>
                <w:b/>
              </w:rPr>
            </w:pPr>
            <w:r w:rsidRPr="005638EB">
              <w:rPr>
                <w:rFonts w:ascii="Arial Narrow" w:hAnsi="Arial Narrow"/>
                <w:b/>
                <w:sz w:val="22"/>
              </w:rPr>
              <w:t>Beschreibung der neuen Methode</w:t>
            </w:r>
          </w:p>
        </w:tc>
      </w:tr>
      <w:tr w:rsidR="008E6675" w:rsidRPr="005638EB" w14:paraId="5696BA9D" w14:textId="77777777" w:rsidTr="30241C16">
        <w:tc>
          <w:tcPr>
            <w:tcW w:w="9212" w:type="dxa"/>
          </w:tcPr>
          <w:p w14:paraId="7445A3BD" w14:textId="77777777" w:rsidR="00C855DA" w:rsidRDefault="0036325A" w:rsidP="0036325A">
            <w:pPr>
              <w:rPr>
                <w:rFonts w:ascii="Arial Narrow" w:hAnsi="Arial Narrow"/>
                <w:sz w:val="22"/>
              </w:rPr>
            </w:pPr>
            <w:r w:rsidRPr="001C390E">
              <w:rPr>
                <w:rFonts w:ascii="Arial Narrow" w:hAnsi="Arial Narrow"/>
                <w:sz w:val="22"/>
              </w:rPr>
              <w:t xml:space="preserve">Wirkweise: </w:t>
            </w:r>
          </w:p>
          <w:p w14:paraId="0CA0EC6A" w14:textId="24BB2D71" w:rsidR="008E6675" w:rsidRDefault="37E60EED" w:rsidP="35F30AD9">
            <w:pPr>
              <w:rPr>
                <w:rFonts w:ascii="Arial Narrow" w:hAnsi="Arial Narrow"/>
                <w:sz w:val="22"/>
                <w:szCs w:val="22"/>
              </w:rPr>
            </w:pPr>
            <w:r w:rsidRPr="30241C16">
              <w:rPr>
                <w:rFonts w:ascii="Arial Narrow" w:hAnsi="Arial Narrow"/>
                <w:sz w:val="22"/>
                <w:szCs w:val="22"/>
              </w:rPr>
              <w:t>Acalabrutinib ist ein hochselektiver oraler Bruton-Tyrosinkinase (BTK)-Inhibitor der zweiten Generation, der kovalent an den Cystein-481-Rest in der</w:t>
            </w:r>
            <w:r w:rsidR="249B9A8E" w:rsidRPr="30241C16">
              <w:rPr>
                <w:rFonts w:ascii="Arial Narrow" w:hAnsi="Arial Narrow"/>
                <w:sz w:val="22"/>
                <w:szCs w:val="22"/>
              </w:rPr>
              <w:t xml:space="preserve"> </w:t>
            </w:r>
            <w:r w:rsidR="249B9A8E" w:rsidRPr="00A331A3">
              <w:rPr>
                <w:rFonts w:ascii="Arial Narrow" w:hAnsi="Arial Narrow"/>
                <w:sz w:val="22"/>
                <w:szCs w:val="22"/>
              </w:rPr>
              <w:t>Adenosintriphosphat</w:t>
            </w:r>
            <w:r w:rsidR="249B9A8E" w:rsidRPr="30241C16">
              <w:rPr>
                <w:rFonts w:ascii="Arial Narrow" w:hAnsi="Arial Narrow"/>
                <w:sz w:val="22"/>
                <w:szCs w:val="22"/>
              </w:rPr>
              <w:t>(</w:t>
            </w:r>
            <w:r w:rsidRPr="30241C16">
              <w:rPr>
                <w:rFonts w:ascii="Arial Narrow" w:hAnsi="Arial Narrow"/>
                <w:sz w:val="22"/>
                <w:szCs w:val="22"/>
              </w:rPr>
              <w:t>ATP</w:t>
            </w:r>
            <w:r w:rsidR="249B9A8E" w:rsidRPr="30241C16">
              <w:rPr>
                <w:rFonts w:ascii="Arial Narrow" w:hAnsi="Arial Narrow"/>
                <w:sz w:val="22"/>
                <w:szCs w:val="22"/>
              </w:rPr>
              <w:t>)</w:t>
            </w:r>
            <w:r w:rsidRPr="30241C16">
              <w:rPr>
                <w:rFonts w:ascii="Arial Narrow" w:hAnsi="Arial Narrow"/>
                <w:sz w:val="22"/>
                <w:szCs w:val="22"/>
              </w:rPr>
              <w:t>-Bindungstasche der BTK bindet. Auf diese Weise wird die Kinasefunktion der BTK irreversibel inhibiert.</w:t>
            </w:r>
          </w:p>
          <w:p w14:paraId="694D1877" w14:textId="77777777" w:rsidR="00C855DA" w:rsidRPr="00714858" w:rsidRDefault="00C855DA" w:rsidP="0036325A">
            <w:pPr>
              <w:rPr>
                <w:rFonts w:ascii="Arial Narrow" w:hAnsi="Arial Narrow"/>
                <w:sz w:val="22"/>
              </w:rPr>
            </w:pPr>
          </w:p>
          <w:p w14:paraId="06E72741" w14:textId="77777777" w:rsidR="00C855DA" w:rsidRDefault="0036325A" w:rsidP="003D49C5">
            <w:pPr>
              <w:rPr>
                <w:rFonts w:ascii="Arial Narrow" w:hAnsi="Arial Narrow"/>
                <w:sz w:val="22"/>
              </w:rPr>
            </w:pPr>
            <w:r w:rsidRPr="001C390E">
              <w:rPr>
                <w:rFonts w:ascii="Arial Narrow" w:hAnsi="Arial Narrow"/>
                <w:sz w:val="22"/>
              </w:rPr>
              <w:t>Evidenzlage:</w:t>
            </w:r>
          </w:p>
          <w:p w14:paraId="30E5A94F" w14:textId="3E3BEADE" w:rsidR="003D49C5" w:rsidRDefault="003D49C5" w:rsidP="003D49C5">
            <w:pPr>
              <w:rPr>
                <w:rFonts w:ascii="Arial Narrow" w:hAnsi="Arial Narrow"/>
                <w:sz w:val="22"/>
                <w:szCs w:val="22"/>
              </w:rPr>
            </w:pPr>
            <w:r w:rsidRPr="74D1138D">
              <w:rPr>
                <w:rFonts w:ascii="Arial Narrow" w:hAnsi="Arial Narrow"/>
                <w:sz w:val="22"/>
                <w:szCs w:val="22"/>
              </w:rPr>
              <w:t>In der 3-armigen Phase-III-Studie ELEVATE-TN [ACE-CL-007] wurden Acalabrutinib + Obinutuzumab, Acalabrutinib-Monotherapie und Obinutuzumab + Chlorambucil bei 535 Patienten mit zuvor unbehandelter CLL verglichen. Primärer Endpunkt war das progressionsfreie Überleben (PFS) für Acalabrutinib + Obinutuzumab vs. Obinutuzumab + Chlorambucil. In der finalen Analyse nach einem medianen Follow-up von 74,5 Monaten wurde der PFS-Median in beiden Acalabrutinib-Armen nicht erreicht, verglichen mit 27,8 Monaten unter Chlorambucil-Obinutuzumab (jeweils p&lt;0,0001); die 72-Monats-PFS-Raten lagen bei 78,0 % (Acalabrutinib-Obinutuzumab), 61,5 % (</w:t>
            </w:r>
            <w:r w:rsidR="405EF6E9" w:rsidRPr="74D1138D">
              <w:rPr>
                <w:rFonts w:ascii="Arial Narrow" w:hAnsi="Arial Narrow"/>
                <w:sz w:val="22"/>
                <w:szCs w:val="22"/>
              </w:rPr>
              <w:t xml:space="preserve">Acalabrutinib </w:t>
            </w:r>
            <w:r w:rsidRPr="74D1138D">
              <w:rPr>
                <w:rFonts w:ascii="Arial Narrow" w:hAnsi="Arial Narrow"/>
                <w:sz w:val="22"/>
                <w:szCs w:val="22"/>
              </w:rPr>
              <w:t xml:space="preserve">Monotherapie) und 17,2 % (Chemoimmuntherapie). Auch das Gesamtüberleben war unter Acalabrutinib-Obinutuzumab signifikant länger </w:t>
            </w:r>
            <w:r w:rsidR="4E408A1C" w:rsidRPr="280A75A0">
              <w:rPr>
                <w:rFonts w:ascii="Arial Narrow" w:hAnsi="Arial Narrow"/>
                <w:sz w:val="22"/>
                <w:szCs w:val="22"/>
              </w:rPr>
              <w:t xml:space="preserve">im Vergleich zu Chemoimmuntherapie </w:t>
            </w:r>
            <w:r w:rsidRPr="74D1138D">
              <w:rPr>
                <w:rFonts w:ascii="Arial Narrow" w:hAnsi="Arial Narrow"/>
                <w:sz w:val="22"/>
                <w:szCs w:val="22"/>
              </w:rPr>
              <w:t>(HR: 0,62; p=0,0349; 72-Monats-OS-Rate 83,9 % vs. 74,7 %).</w:t>
            </w:r>
          </w:p>
          <w:p w14:paraId="2234A77D" w14:textId="77777777" w:rsidR="00C855DA" w:rsidRPr="003D49C5" w:rsidRDefault="00C855DA" w:rsidP="003D49C5">
            <w:pPr>
              <w:rPr>
                <w:rFonts w:ascii="Arial Narrow" w:hAnsi="Arial Narrow"/>
                <w:sz w:val="22"/>
              </w:rPr>
            </w:pPr>
          </w:p>
          <w:p w14:paraId="759D0DBE" w14:textId="0C9B9B34" w:rsidR="003D49C5" w:rsidRDefault="19D77EE9" w:rsidP="003D49C5">
            <w:pPr>
              <w:rPr>
                <w:rFonts w:ascii="Arial Narrow" w:hAnsi="Arial Narrow"/>
                <w:sz w:val="22"/>
                <w:szCs w:val="22"/>
              </w:rPr>
            </w:pPr>
            <w:r w:rsidRPr="30241C16">
              <w:rPr>
                <w:rFonts w:ascii="Arial Narrow" w:hAnsi="Arial Narrow"/>
                <w:sz w:val="22"/>
                <w:szCs w:val="22"/>
              </w:rPr>
              <w:t>AMPLIFY war eine randomisierte Phase-III-Studie bei 867 Patienten mit zuvor unbehandelter CLL ohne del(17p)/TP53-Mutation, die Acalabrutinib + Venetoclax (AV)</w:t>
            </w:r>
            <w:r w:rsidR="00CE4766">
              <w:rPr>
                <w:rFonts w:ascii="Arial Narrow" w:hAnsi="Arial Narrow"/>
                <w:sz w:val="22"/>
                <w:szCs w:val="22"/>
              </w:rPr>
              <w:t>, Acalabrutinib + Venetoclax + Obinutuzumab (AVO)</w:t>
            </w:r>
            <w:r w:rsidRPr="30241C16">
              <w:rPr>
                <w:rFonts w:ascii="Arial Narrow" w:hAnsi="Arial Narrow"/>
                <w:sz w:val="22"/>
                <w:szCs w:val="22"/>
              </w:rPr>
              <w:t xml:space="preserve"> oder eine Chemoimmuntherapie nach Wahl des Prüfarztes (FCR oder BR) erhielten. Bei einem medianen Follow-up von 40,8 Monaten betrug die 3-Jahres-PFS-Rate 76,5 % (AV) bzw. 83,1 % (AVO) vs. 66,5 % unter</w:t>
            </w:r>
            <w:r w:rsidR="249B9A8E" w:rsidRPr="30241C16">
              <w:rPr>
                <w:rFonts w:ascii="Arial Narrow" w:hAnsi="Arial Narrow"/>
                <w:sz w:val="22"/>
                <w:szCs w:val="22"/>
              </w:rPr>
              <w:t xml:space="preserve"> </w:t>
            </w:r>
            <w:r w:rsidRPr="30241C16">
              <w:rPr>
                <w:rFonts w:ascii="Arial Narrow" w:hAnsi="Arial Narrow"/>
                <w:sz w:val="22"/>
                <w:szCs w:val="22"/>
              </w:rPr>
              <w:t>Chemoimmun</w:t>
            </w:r>
            <w:r w:rsidR="249B9A8E" w:rsidRPr="30241C16">
              <w:rPr>
                <w:rFonts w:ascii="Arial Narrow" w:hAnsi="Arial Narrow"/>
                <w:sz w:val="22"/>
                <w:szCs w:val="22"/>
              </w:rPr>
              <w:t>-</w:t>
            </w:r>
            <w:r w:rsidRPr="30241C16">
              <w:rPr>
                <w:rFonts w:ascii="Arial Narrow" w:hAnsi="Arial Narrow"/>
                <w:sz w:val="22"/>
                <w:szCs w:val="22"/>
              </w:rPr>
              <w:t>therapie (</w:t>
            </w:r>
            <w:r w:rsidR="00C524B6" w:rsidRPr="00C524B6">
              <w:rPr>
                <w:rFonts w:ascii="Arial Narrow" w:hAnsi="Arial Narrow"/>
                <w:sz w:val="22"/>
                <w:szCs w:val="22"/>
              </w:rPr>
              <w:t>AV vs. Chemoimmuntherapie: HR 0,65; 95%-KI: 0,49–0,87; p=0,004; AVO vs. Chemoimmuntherapie: HR 0,42; p&lt;0,001</w:t>
            </w:r>
            <w:r w:rsidRPr="30241C16">
              <w:rPr>
                <w:rFonts w:ascii="Arial Narrow" w:hAnsi="Arial Narrow"/>
                <w:sz w:val="22"/>
                <w:szCs w:val="22"/>
              </w:rPr>
              <w:t xml:space="preserve">); der PFS-Median wurde unter AV </w:t>
            </w:r>
            <w:r w:rsidR="000F493C" w:rsidRPr="000F493C">
              <w:rPr>
                <w:rFonts w:ascii="Arial Narrow" w:hAnsi="Arial Narrow"/>
                <w:sz w:val="22"/>
                <w:szCs w:val="22"/>
              </w:rPr>
              <w:t>und AVO nicht erreicht, unter der Vergleichstherapie lag er bei 47,6 Monaten. Die geschätzten 36-Monats-OS-Raten betrugen 94,1 % (AV), 87,7 % (AVO) und 85,9 % (Chemoimmuntherapie); ein signifikanter OS-Vorteil zeigte sich für AV vs. Chemoimmuntherapie</w:t>
            </w:r>
            <w:r w:rsidRPr="30241C16">
              <w:rPr>
                <w:rFonts w:ascii="Arial Narrow" w:hAnsi="Arial Narrow"/>
                <w:sz w:val="22"/>
                <w:szCs w:val="22"/>
              </w:rPr>
              <w:t xml:space="preserve">. </w:t>
            </w:r>
          </w:p>
          <w:p w14:paraId="4397A1F7" w14:textId="77777777" w:rsidR="00D969DB" w:rsidRPr="003D49C5" w:rsidRDefault="00D969DB" w:rsidP="003D49C5">
            <w:pPr>
              <w:rPr>
                <w:rFonts w:ascii="Arial Narrow" w:hAnsi="Arial Narrow"/>
                <w:sz w:val="22"/>
              </w:rPr>
            </w:pPr>
          </w:p>
          <w:p w14:paraId="25252E42" w14:textId="3A3B7BFE" w:rsidR="003D49C5" w:rsidRPr="003D49C5" w:rsidRDefault="3C19435A" w:rsidP="35F30AD9">
            <w:pPr>
              <w:rPr>
                <w:rFonts w:ascii="Arial Narrow" w:hAnsi="Arial Narrow"/>
                <w:sz w:val="22"/>
                <w:szCs w:val="22"/>
              </w:rPr>
            </w:pPr>
            <w:r w:rsidRPr="30241C16">
              <w:rPr>
                <w:rFonts w:ascii="Arial Narrow" w:hAnsi="Arial Narrow"/>
                <w:sz w:val="22"/>
                <w:szCs w:val="22"/>
              </w:rPr>
              <w:t>ASCEND [CL-309] war eine randomisierte Phase-III-Studie zu Acalabrutinib</w:t>
            </w:r>
            <w:r w:rsidR="5183AEBF" w:rsidRPr="30241C16">
              <w:rPr>
                <w:rFonts w:ascii="Arial Narrow" w:hAnsi="Arial Narrow"/>
                <w:sz w:val="22"/>
                <w:szCs w:val="22"/>
              </w:rPr>
              <w:t xml:space="preserve"> </w:t>
            </w:r>
            <w:r w:rsidR="249B9A8E" w:rsidRPr="30241C16">
              <w:rPr>
                <w:rFonts w:ascii="Arial Narrow" w:hAnsi="Arial Narrow"/>
                <w:sz w:val="22"/>
                <w:szCs w:val="22"/>
              </w:rPr>
              <w:t xml:space="preserve">als </w:t>
            </w:r>
            <w:r w:rsidR="5183AEBF" w:rsidRPr="30241C16">
              <w:rPr>
                <w:rFonts w:ascii="Arial Narrow" w:hAnsi="Arial Narrow"/>
                <w:sz w:val="22"/>
                <w:szCs w:val="22"/>
              </w:rPr>
              <w:t>Monotherapie</w:t>
            </w:r>
            <w:r w:rsidRPr="30241C16">
              <w:rPr>
                <w:rFonts w:ascii="Arial Narrow" w:hAnsi="Arial Narrow"/>
                <w:sz w:val="22"/>
                <w:szCs w:val="22"/>
              </w:rPr>
              <w:t xml:space="preserve"> im Vergleich zu Idelalisib + Rituximab</w:t>
            </w:r>
            <w:r w:rsidR="35EA744A" w:rsidRPr="30241C16">
              <w:rPr>
                <w:rFonts w:ascii="Arial Narrow" w:hAnsi="Arial Narrow"/>
                <w:sz w:val="22"/>
                <w:szCs w:val="22"/>
              </w:rPr>
              <w:t xml:space="preserve"> (IdR)</w:t>
            </w:r>
            <w:r w:rsidRPr="30241C16">
              <w:rPr>
                <w:rFonts w:ascii="Arial Narrow" w:hAnsi="Arial Narrow"/>
                <w:sz w:val="22"/>
                <w:szCs w:val="22"/>
              </w:rPr>
              <w:t xml:space="preserve"> oder Bendamustin + Rituximab </w:t>
            </w:r>
            <w:r w:rsidR="7C11E8FB" w:rsidRPr="30241C16">
              <w:rPr>
                <w:rFonts w:ascii="Arial Narrow" w:hAnsi="Arial Narrow"/>
                <w:sz w:val="22"/>
                <w:szCs w:val="22"/>
              </w:rPr>
              <w:t xml:space="preserve">(BR) </w:t>
            </w:r>
            <w:r w:rsidRPr="30241C16">
              <w:rPr>
                <w:rFonts w:ascii="Arial Narrow" w:hAnsi="Arial Narrow"/>
                <w:sz w:val="22"/>
                <w:szCs w:val="22"/>
              </w:rPr>
              <w:t xml:space="preserve">(nach Wahl des Prüfarztes) bei rezidivierender/refraktärer CLL, auch bei Hochrisiko-Patienten. In der finalen Analyse bei einem medianen Follow-up von 46,5 Monaten (Acalabrutinib) bzw. 45,3 Monaten (Vergleichsarm) verlängerte Acalabrutinib das </w:t>
            </w:r>
            <w:r w:rsidRPr="30241C16">
              <w:rPr>
                <w:rFonts w:ascii="Arial Narrow" w:hAnsi="Arial Narrow"/>
                <w:sz w:val="22"/>
                <w:szCs w:val="22"/>
              </w:rPr>
              <w:lastRenderedPageBreak/>
              <w:t>PFS signifikant (Median: nicht erreicht vs. 16,8 Monate; p&lt;0,001); die 42-Monats-PFS-Raten betrugen 62 %</w:t>
            </w:r>
            <w:r w:rsidR="3B1A4013" w:rsidRPr="30241C16">
              <w:rPr>
                <w:rFonts w:ascii="Arial Narrow" w:hAnsi="Arial Narrow"/>
                <w:sz w:val="22"/>
                <w:szCs w:val="22"/>
              </w:rPr>
              <w:t xml:space="preserve"> (Acalabrutinib)</w:t>
            </w:r>
            <w:r w:rsidRPr="30241C16">
              <w:rPr>
                <w:rFonts w:ascii="Arial Narrow" w:hAnsi="Arial Narrow"/>
                <w:sz w:val="22"/>
                <w:szCs w:val="22"/>
              </w:rPr>
              <w:t xml:space="preserve"> vs. 19 %</w:t>
            </w:r>
            <w:r w:rsidR="23C55CD8" w:rsidRPr="30241C16">
              <w:rPr>
                <w:rFonts w:ascii="Arial Narrow" w:hAnsi="Arial Narrow"/>
                <w:sz w:val="22"/>
                <w:szCs w:val="22"/>
              </w:rPr>
              <w:t xml:space="preserve"> (IdR/BR)</w:t>
            </w:r>
            <w:r w:rsidRPr="30241C16">
              <w:rPr>
                <w:rFonts w:ascii="Arial Narrow" w:hAnsi="Arial Narrow"/>
                <w:sz w:val="22"/>
                <w:szCs w:val="22"/>
              </w:rPr>
              <w:t>. Das mediane Gesamtüberleben wurde in beiden Armen nicht erreicht (42-Monats-OS-Raten: 78 %</w:t>
            </w:r>
            <w:r w:rsidR="6B87D81B" w:rsidRPr="30241C16">
              <w:rPr>
                <w:rFonts w:ascii="Arial Narrow" w:hAnsi="Arial Narrow"/>
                <w:sz w:val="22"/>
                <w:szCs w:val="22"/>
              </w:rPr>
              <w:t xml:space="preserve"> (Acalabrutinib)</w:t>
            </w:r>
            <w:r w:rsidRPr="30241C16">
              <w:rPr>
                <w:rFonts w:ascii="Arial Narrow" w:hAnsi="Arial Narrow"/>
                <w:sz w:val="22"/>
                <w:szCs w:val="22"/>
              </w:rPr>
              <w:t xml:space="preserve"> vs. 65 %</w:t>
            </w:r>
            <w:r w:rsidR="18BF95DF" w:rsidRPr="30241C16">
              <w:rPr>
                <w:rFonts w:ascii="Arial Narrow" w:hAnsi="Arial Narrow"/>
                <w:sz w:val="22"/>
                <w:szCs w:val="22"/>
              </w:rPr>
              <w:t xml:space="preserve"> (IdR/BR)</w:t>
            </w:r>
            <w:r w:rsidRPr="30241C16">
              <w:rPr>
                <w:rFonts w:ascii="Arial Narrow" w:hAnsi="Arial Narrow"/>
                <w:sz w:val="22"/>
                <w:szCs w:val="22"/>
              </w:rPr>
              <w:t>).</w:t>
            </w:r>
          </w:p>
          <w:p w14:paraId="089EC632" w14:textId="77777777" w:rsidR="00D969DB" w:rsidRDefault="00D969DB" w:rsidP="003D49C5">
            <w:pPr>
              <w:rPr>
                <w:rFonts w:ascii="Arial Narrow" w:hAnsi="Arial Narrow"/>
                <w:sz w:val="22"/>
              </w:rPr>
            </w:pPr>
          </w:p>
          <w:p w14:paraId="1E6C53C0" w14:textId="0EAC45C6" w:rsidR="003D49C5" w:rsidRDefault="3C19435A" w:rsidP="35F30AD9">
            <w:pPr>
              <w:rPr>
                <w:rFonts w:ascii="Arial Narrow" w:hAnsi="Arial Narrow"/>
                <w:sz w:val="22"/>
                <w:szCs w:val="22"/>
              </w:rPr>
            </w:pPr>
            <w:r w:rsidRPr="30241C16">
              <w:rPr>
                <w:rFonts w:ascii="Arial Narrow" w:hAnsi="Arial Narrow"/>
                <w:sz w:val="22"/>
                <w:szCs w:val="22"/>
              </w:rPr>
              <w:t xml:space="preserve">In der ECHO-Studie wurden nicht vorbehandelte MCL-Patienten </w:t>
            </w:r>
            <w:r w:rsidR="249B9A8E" w:rsidRPr="30241C16">
              <w:rPr>
                <w:rFonts w:ascii="Arial Narrow" w:hAnsi="Arial Narrow"/>
                <w:sz w:val="22"/>
                <w:szCs w:val="22"/>
              </w:rPr>
              <w:t xml:space="preserve">ab einem Alter von 65 Jahren </w:t>
            </w:r>
            <w:r w:rsidRPr="30241C16">
              <w:rPr>
                <w:rFonts w:ascii="Arial Narrow" w:hAnsi="Arial Narrow"/>
                <w:sz w:val="22"/>
                <w:szCs w:val="22"/>
              </w:rPr>
              <w:t>randomisiert zu Acalabrutinib + Bendamustin + Rituximab oder Placebo + Bendamustin + Rituximab. Bei einem medianen Follow-up von 49,8 Monaten betrug das mediane PFS 66,4 Monate vs. 49,6 Monate (HR: 0,73; 95%-KI: 0,57–0,94; p=0,0160)</w:t>
            </w:r>
            <w:r w:rsidR="249B9A8E" w:rsidRPr="30241C16">
              <w:rPr>
                <w:rFonts w:ascii="Arial Narrow" w:hAnsi="Arial Narrow"/>
                <w:sz w:val="22"/>
                <w:szCs w:val="22"/>
              </w:rPr>
              <w:t>.</w:t>
            </w:r>
          </w:p>
          <w:p w14:paraId="04240709" w14:textId="32B4FEDB" w:rsidR="00363678" w:rsidRPr="00363678" w:rsidRDefault="249B9A8E" w:rsidP="35F30AD9">
            <w:pPr>
              <w:rPr>
                <w:rFonts w:ascii="Arial Narrow" w:hAnsi="Arial Narrow"/>
                <w:sz w:val="22"/>
                <w:szCs w:val="22"/>
              </w:rPr>
            </w:pPr>
            <w:r w:rsidRPr="30241C16">
              <w:rPr>
                <w:rFonts w:ascii="Arial Narrow" w:hAnsi="Arial Narrow"/>
                <w:sz w:val="22"/>
                <w:szCs w:val="22"/>
              </w:rPr>
              <w:t>In der Phase-2-Studie </w:t>
            </w:r>
            <w:r w:rsidRPr="00A331A3">
              <w:rPr>
                <w:rFonts w:ascii="Arial Narrow" w:hAnsi="Arial Narrow"/>
                <w:sz w:val="22"/>
                <w:szCs w:val="22"/>
              </w:rPr>
              <w:t>ACE-LY-004</w:t>
            </w:r>
            <w:r w:rsidRPr="30241C16">
              <w:rPr>
                <w:rFonts w:ascii="Arial Narrow" w:hAnsi="Arial Narrow"/>
                <w:sz w:val="22"/>
                <w:szCs w:val="22"/>
              </w:rPr>
              <w:t> (n=124, r/r MCL, keine BTKi/BCL-2i-Vortherapie) erzielte </w:t>
            </w:r>
            <w:r w:rsidRPr="00A331A3">
              <w:rPr>
                <w:rFonts w:ascii="Arial Narrow" w:hAnsi="Arial Narrow"/>
                <w:sz w:val="22"/>
                <w:szCs w:val="22"/>
              </w:rPr>
              <w:t>Acalabrutinib-Monotherapie</w:t>
            </w:r>
            <w:r w:rsidRPr="30241C16">
              <w:rPr>
                <w:rFonts w:ascii="Arial Narrow" w:hAnsi="Arial Narrow"/>
                <w:sz w:val="22"/>
                <w:szCs w:val="22"/>
              </w:rPr>
              <w:t> nach 54 Monaten eine </w:t>
            </w:r>
            <w:r w:rsidRPr="00A331A3">
              <w:rPr>
                <w:rFonts w:ascii="Arial Narrow" w:hAnsi="Arial Narrow"/>
                <w:sz w:val="22"/>
                <w:szCs w:val="22"/>
              </w:rPr>
              <w:t>ORR von 81,5%</w:t>
            </w:r>
            <w:r w:rsidRPr="30241C16">
              <w:rPr>
                <w:rFonts w:ascii="Arial Narrow" w:hAnsi="Arial Narrow"/>
                <w:sz w:val="22"/>
                <w:szCs w:val="22"/>
              </w:rPr>
              <w:t> (nahezu 50% CR) bei einer </w:t>
            </w:r>
            <w:r w:rsidRPr="00A331A3">
              <w:rPr>
                <w:rFonts w:ascii="Arial Narrow" w:hAnsi="Arial Narrow"/>
                <w:sz w:val="22"/>
                <w:szCs w:val="22"/>
              </w:rPr>
              <w:t>medianen DOR von 28,6 Monaten</w:t>
            </w:r>
            <w:r w:rsidRPr="30241C16">
              <w:rPr>
                <w:rFonts w:ascii="Arial Narrow" w:hAnsi="Arial Narrow"/>
                <w:sz w:val="22"/>
                <w:szCs w:val="22"/>
              </w:rPr>
              <w:t>. Das </w:t>
            </w:r>
            <w:r w:rsidRPr="00A331A3">
              <w:rPr>
                <w:rFonts w:ascii="Arial Narrow" w:hAnsi="Arial Narrow"/>
                <w:sz w:val="22"/>
                <w:szCs w:val="22"/>
              </w:rPr>
              <w:t>mediane PFS</w:t>
            </w:r>
            <w:r w:rsidRPr="30241C16">
              <w:rPr>
                <w:rFonts w:ascii="Arial Narrow" w:hAnsi="Arial Narrow"/>
                <w:sz w:val="22"/>
                <w:szCs w:val="22"/>
              </w:rPr>
              <w:t> lag bei </w:t>
            </w:r>
            <w:r w:rsidRPr="00A331A3">
              <w:rPr>
                <w:rFonts w:ascii="Arial Narrow" w:hAnsi="Arial Narrow"/>
                <w:sz w:val="22"/>
                <w:szCs w:val="22"/>
              </w:rPr>
              <w:t>22,0 Monaten</w:t>
            </w:r>
            <w:r w:rsidRPr="30241C16">
              <w:rPr>
                <w:rFonts w:ascii="Arial Narrow" w:hAnsi="Arial Narrow"/>
                <w:sz w:val="22"/>
                <w:szCs w:val="22"/>
              </w:rPr>
              <w:t> (PFS-Raten: 67,8%/49,6%/37,2% nach 12/24/36 Monaten), das </w:t>
            </w:r>
            <w:r w:rsidRPr="00A331A3">
              <w:rPr>
                <w:rFonts w:ascii="Arial Narrow" w:hAnsi="Arial Narrow"/>
                <w:sz w:val="22"/>
                <w:szCs w:val="22"/>
              </w:rPr>
              <w:t>mediane OS</w:t>
            </w:r>
            <w:r w:rsidRPr="30241C16">
              <w:rPr>
                <w:rFonts w:ascii="Arial Narrow" w:hAnsi="Arial Narrow"/>
                <w:sz w:val="22"/>
                <w:szCs w:val="22"/>
              </w:rPr>
              <w:t> bei </w:t>
            </w:r>
            <w:r w:rsidRPr="00A331A3">
              <w:rPr>
                <w:rFonts w:ascii="Arial Narrow" w:hAnsi="Arial Narrow"/>
                <w:sz w:val="22"/>
                <w:szCs w:val="22"/>
              </w:rPr>
              <w:t>59,2 Monaten</w:t>
            </w:r>
            <w:r w:rsidRPr="30241C16">
              <w:rPr>
                <w:rFonts w:ascii="Arial Narrow" w:hAnsi="Arial Narrow"/>
                <w:sz w:val="22"/>
                <w:szCs w:val="22"/>
              </w:rPr>
              <w:t> (OS-Raten: 86,8%/72,4%/60,5%/52,4% nach 12/24/36/48 Monaten).</w:t>
            </w:r>
          </w:p>
          <w:p w14:paraId="149A4AB8" w14:textId="3CD5A1F3" w:rsidR="008E6675" w:rsidRPr="00714858" w:rsidRDefault="008E6675" w:rsidP="005638EB">
            <w:pPr>
              <w:rPr>
                <w:rFonts w:ascii="Arial Narrow" w:hAnsi="Arial Narrow"/>
                <w:sz w:val="22"/>
              </w:rPr>
            </w:pPr>
          </w:p>
          <w:p w14:paraId="0AAE0D7E" w14:textId="77777777" w:rsidR="006E2B7A" w:rsidRDefault="0036325A" w:rsidP="0078272D">
            <w:pPr>
              <w:rPr>
                <w:rFonts w:ascii="Arial Narrow" w:hAnsi="Arial Narrow"/>
                <w:sz w:val="22"/>
              </w:rPr>
            </w:pPr>
            <w:r w:rsidRPr="001C390E">
              <w:rPr>
                <w:rFonts w:ascii="Arial Narrow" w:hAnsi="Arial Narrow"/>
                <w:sz w:val="22"/>
              </w:rPr>
              <w:t>Dosi</w:t>
            </w:r>
            <w:r w:rsidR="004C4F82" w:rsidRPr="001C390E">
              <w:rPr>
                <w:rFonts w:ascii="Arial Narrow" w:hAnsi="Arial Narrow"/>
                <w:sz w:val="22"/>
              </w:rPr>
              <w:t>erung</w:t>
            </w:r>
            <w:r w:rsidRPr="001C390E">
              <w:rPr>
                <w:rFonts w:ascii="Arial Narrow" w:hAnsi="Arial Narrow"/>
                <w:sz w:val="22"/>
              </w:rPr>
              <w:t>:</w:t>
            </w:r>
          </w:p>
          <w:p w14:paraId="0AF79188" w14:textId="3CA5A50A" w:rsidR="00DB14F4" w:rsidRPr="00714858" w:rsidRDefault="2070968A" w:rsidP="35F30AD9">
            <w:pPr>
              <w:rPr>
                <w:rFonts w:ascii="Arial Narrow" w:hAnsi="Arial Narrow"/>
                <w:sz w:val="22"/>
                <w:szCs w:val="22"/>
              </w:rPr>
            </w:pPr>
            <w:r w:rsidRPr="35F30AD9">
              <w:rPr>
                <w:rFonts w:ascii="Arial Narrow" w:hAnsi="Arial Narrow"/>
                <w:sz w:val="22"/>
                <w:szCs w:val="22"/>
              </w:rPr>
              <w:t xml:space="preserve">Die </w:t>
            </w:r>
            <w:r w:rsidR="3BE9993D" w:rsidRPr="35F30AD9">
              <w:rPr>
                <w:rFonts w:ascii="Arial Narrow" w:hAnsi="Arial Narrow"/>
                <w:sz w:val="22"/>
                <w:szCs w:val="22"/>
              </w:rPr>
              <w:t>empfohlene</w:t>
            </w:r>
            <w:r w:rsidR="0E17A841" w:rsidRPr="35F30AD9">
              <w:rPr>
                <w:rFonts w:ascii="Arial Narrow" w:hAnsi="Arial Narrow"/>
                <w:sz w:val="22"/>
                <w:szCs w:val="22"/>
              </w:rPr>
              <w:t xml:space="preserve"> Dos</w:t>
            </w:r>
            <w:r w:rsidR="719A6D57" w:rsidRPr="35F30AD9">
              <w:rPr>
                <w:rFonts w:ascii="Arial Narrow" w:hAnsi="Arial Narrow"/>
                <w:sz w:val="22"/>
                <w:szCs w:val="22"/>
              </w:rPr>
              <w:t>is be</w:t>
            </w:r>
            <w:r w:rsidR="2BF5844F" w:rsidRPr="35F30AD9">
              <w:rPr>
                <w:rFonts w:ascii="Arial Narrow" w:hAnsi="Arial Narrow"/>
                <w:sz w:val="22"/>
                <w:szCs w:val="22"/>
              </w:rPr>
              <w:t>trägt</w:t>
            </w:r>
            <w:r w:rsidR="553B5C9B" w:rsidRPr="35F30AD9">
              <w:rPr>
                <w:rFonts w:ascii="Arial Narrow" w:hAnsi="Arial Narrow"/>
                <w:sz w:val="22"/>
                <w:szCs w:val="22"/>
              </w:rPr>
              <w:t xml:space="preserve"> </w:t>
            </w:r>
            <w:r w:rsidR="3AFD7AB8" w:rsidRPr="35F30AD9">
              <w:rPr>
                <w:rFonts w:ascii="Arial Narrow" w:hAnsi="Arial Narrow"/>
                <w:sz w:val="22"/>
                <w:szCs w:val="22"/>
              </w:rPr>
              <w:t>100 mg Acalabrutinib </w:t>
            </w:r>
            <w:hyperlink r:id="rId12">
              <w:r w:rsidR="3AFD7AB8" w:rsidRPr="35F30AD9">
                <w:rPr>
                  <w:rFonts w:ascii="Arial Narrow" w:hAnsi="Arial Narrow"/>
                  <w:sz w:val="22"/>
                  <w:szCs w:val="22"/>
                </w:rPr>
                <w:t>oral</w:t>
              </w:r>
            </w:hyperlink>
            <w:r w:rsidR="3AFD7AB8" w:rsidRPr="35F30AD9">
              <w:rPr>
                <w:rFonts w:ascii="Arial Narrow" w:hAnsi="Arial Narrow"/>
                <w:sz w:val="22"/>
                <w:szCs w:val="22"/>
              </w:rPr>
              <w:t> </w:t>
            </w:r>
            <w:r w:rsidR="6A0282F1" w:rsidRPr="35F30AD9">
              <w:rPr>
                <w:rFonts w:ascii="Arial Narrow" w:hAnsi="Arial Narrow"/>
                <w:sz w:val="22"/>
                <w:szCs w:val="22"/>
              </w:rPr>
              <w:t>zweimal</w:t>
            </w:r>
            <w:r w:rsidR="7003715A" w:rsidRPr="35F30AD9">
              <w:rPr>
                <w:rFonts w:ascii="Arial Narrow" w:hAnsi="Arial Narrow"/>
                <w:sz w:val="22"/>
                <w:szCs w:val="22"/>
              </w:rPr>
              <w:t xml:space="preserve"> </w:t>
            </w:r>
            <w:r w:rsidR="3AFD7AB8" w:rsidRPr="35F30AD9">
              <w:rPr>
                <w:rFonts w:ascii="Arial Narrow" w:hAnsi="Arial Narrow"/>
                <w:sz w:val="22"/>
                <w:szCs w:val="22"/>
              </w:rPr>
              <w:t xml:space="preserve">täglich (100 mg Acalabrutinib </w:t>
            </w:r>
            <w:r w:rsidR="6D76BA88" w:rsidRPr="35F30AD9">
              <w:rPr>
                <w:rFonts w:ascii="Arial Narrow" w:hAnsi="Arial Narrow"/>
                <w:sz w:val="22"/>
                <w:szCs w:val="22"/>
              </w:rPr>
              <w:t xml:space="preserve">ungefähr </w:t>
            </w:r>
            <w:r w:rsidR="3AFD7AB8" w:rsidRPr="35F30AD9">
              <w:rPr>
                <w:rFonts w:ascii="Arial Narrow" w:hAnsi="Arial Narrow"/>
                <w:sz w:val="22"/>
                <w:szCs w:val="22"/>
              </w:rPr>
              <w:t>alle 12 Stunden)</w:t>
            </w:r>
          </w:p>
        </w:tc>
      </w:tr>
    </w:tbl>
    <w:p w14:paraId="6F81F951"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F33158" w14:textId="77777777">
        <w:tc>
          <w:tcPr>
            <w:tcW w:w="9212" w:type="dxa"/>
          </w:tcPr>
          <w:p w14:paraId="684681EC" w14:textId="7F246CCE" w:rsidR="008E6675" w:rsidRPr="005638EB" w:rsidRDefault="008E6675" w:rsidP="005638EB">
            <w:pPr>
              <w:rPr>
                <w:rFonts w:ascii="Arial Narrow" w:hAnsi="Arial Narrow"/>
                <w:b/>
              </w:rPr>
            </w:pPr>
            <w:r w:rsidRPr="005638EB">
              <w:rPr>
                <w:rFonts w:ascii="Arial Narrow" w:hAnsi="Arial Narrow"/>
                <w:b/>
                <w:sz w:val="22"/>
              </w:rPr>
              <w:t>Mit welchem OPS wird die Methode verschlüsselt?</w:t>
            </w:r>
          </w:p>
        </w:tc>
      </w:tr>
      <w:tr w:rsidR="008E6675" w:rsidRPr="006354B6" w14:paraId="5C95386E" w14:textId="77777777">
        <w:tc>
          <w:tcPr>
            <w:tcW w:w="9212" w:type="dxa"/>
          </w:tcPr>
          <w:p w14:paraId="276EB151" w14:textId="4D7F9D15" w:rsidR="00CC7E5F" w:rsidRPr="006354B6" w:rsidRDefault="00E82C18" w:rsidP="00E82C18">
            <w:pPr>
              <w:rPr>
                <w:rFonts w:ascii="Arial Narrow" w:hAnsi="Arial Narrow"/>
                <w:sz w:val="22"/>
              </w:rPr>
            </w:pPr>
            <w:r w:rsidRPr="00E82C18">
              <w:rPr>
                <w:rFonts w:ascii="Arial Narrow" w:hAnsi="Arial Narrow"/>
                <w:sz w:val="22"/>
              </w:rPr>
              <w:t>6-00d.1</w:t>
            </w:r>
          </w:p>
        </w:tc>
      </w:tr>
    </w:tbl>
    <w:p w14:paraId="63A2C327" w14:textId="77777777" w:rsidR="00DC6CBD" w:rsidRPr="006354B6" w:rsidRDefault="00DC6CBD" w:rsidP="00EE0D0B">
      <w:pPr>
        <w:jc w:val="cente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5638EB" w14:paraId="1C363EAC" w14:textId="77777777" w:rsidTr="0036178C">
        <w:tc>
          <w:tcPr>
            <w:tcW w:w="9212" w:type="dxa"/>
          </w:tcPr>
          <w:p w14:paraId="76259E49" w14:textId="0E1E9B3E" w:rsidR="004C4F82" w:rsidRPr="005638EB" w:rsidRDefault="002333FF" w:rsidP="0036178C">
            <w:pPr>
              <w:rPr>
                <w:rFonts w:ascii="Arial Narrow" w:hAnsi="Arial Narrow"/>
                <w:b/>
              </w:rPr>
            </w:pPr>
            <w:r>
              <w:rPr>
                <w:rFonts w:ascii="Arial Narrow" w:hAnsi="Arial Narrow"/>
                <w:b/>
                <w:sz w:val="22"/>
              </w:rPr>
              <w:t>Anmerkungen zu den Proz</w:t>
            </w:r>
            <w:r w:rsidR="004C4F82" w:rsidRPr="004C4F82">
              <w:rPr>
                <w:rFonts w:ascii="Arial Narrow" w:hAnsi="Arial Narrow"/>
                <w:b/>
                <w:sz w:val="22"/>
              </w:rPr>
              <w:t>eduren</w:t>
            </w:r>
          </w:p>
        </w:tc>
      </w:tr>
      <w:tr w:rsidR="004C4F82" w:rsidRPr="007F255B" w14:paraId="131FE40C" w14:textId="77777777" w:rsidTr="0036178C">
        <w:tc>
          <w:tcPr>
            <w:tcW w:w="9212" w:type="dxa"/>
          </w:tcPr>
          <w:p w14:paraId="48201DB1" w14:textId="7EB005C1" w:rsidR="004C4F82" w:rsidRPr="00435583" w:rsidRDefault="004C4F82" w:rsidP="00435583">
            <w:pPr>
              <w:rPr>
                <w:rFonts w:ascii="Arial Narrow" w:hAnsi="Arial Narrow"/>
                <w:sz w:val="22"/>
                <w:szCs w:val="22"/>
              </w:rPr>
            </w:pPr>
          </w:p>
        </w:tc>
      </w:tr>
    </w:tbl>
    <w:p w14:paraId="497C648B" w14:textId="77777777" w:rsidR="004C4F82" w:rsidRPr="005638EB" w:rsidRDefault="004C4F82"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C579B85" w14:textId="77777777">
        <w:tc>
          <w:tcPr>
            <w:tcW w:w="9212" w:type="dxa"/>
          </w:tcPr>
          <w:p w14:paraId="442A0D93" w14:textId="77777777" w:rsidR="008E6675" w:rsidRPr="005638EB" w:rsidRDefault="008E6675" w:rsidP="005638EB">
            <w:pPr>
              <w:rPr>
                <w:rFonts w:ascii="Arial Narrow" w:hAnsi="Arial Narrow"/>
                <w:b/>
              </w:rPr>
            </w:pPr>
            <w:r w:rsidRPr="005638EB">
              <w:rPr>
                <w:rFonts w:ascii="Arial Narrow" w:hAnsi="Arial Narrow"/>
                <w:b/>
                <w:sz w:val="22"/>
              </w:rPr>
              <w:t>Bei welchen Patienten wird die Methode angewandt (Indikation)?</w:t>
            </w:r>
          </w:p>
        </w:tc>
      </w:tr>
      <w:tr w:rsidR="008E6675" w:rsidRPr="007F255B" w14:paraId="158F0243" w14:textId="77777777">
        <w:tc>
          <w:tcPr>
            <w:tcW w:w="9212" w:type="dxa"/>
          </w:tcPr>
          <w:p w14:paraId="0E0845FE" w14:textId="77777777" w:rsidR="008419FE" w:rsidRDefault="007B15E9" w:rsidP="00C11458">
            <w:pPr>
              <w:rPr>
                <w:rFonts w:ascii="Arial Narrow" w:hAnsi="Arial Narrow"/>
                <w:sz w:val="22"/>
              </w:rPr>
            </w:pPr>
            <w:r w:rsidRPr="007B15E9">
              <w:rPr>
                <w:rFonts w:ascii="Arial Narrow" w:hAnsi="Arial Narrow"/>
                <w:sz w:val="22"/>
              </w:rPr>
              <w:t xml:space="preserve">Acalabrutinib als Monotherapie oder in Kombination mit Obinutuzumab ist zur Behandlung von erwachsenen Patienten mit nicht vorbehandelter chronischer lymphatischer Leukämie (CLL) indiziert. </w:t>
            </w:r>
          </w:p>
          <w:p w14:paraId="2337762E" w14:textId="77777777" w:rsidR="008419FE" w:rsidRDefault="007B15E9" w:rsidP="00C11458">
            <w:pPr>
              <w:rPr>
                <w:rFonts w:ascii="Arial Narrow" w:hAnsi="Arial Narrow"/>
                <w:sz w:val="22"/>
              </w:rPr>
            </w:pPr>
            <w:r w:rsidRPr="007B15E9">
              <w:rPr>
                <w:rFonts w:ascii="Arial Narrow" w:hAnsi="Arial Narrow"/>
                <w:sz w:val="22"/>
              </w:rPr>
              <w:t xml:space="preserve">Acalabrutinib in Kombination mit Venetoclax mit oder ohne Obinutuzumab ist zur Behandlung von erwachsenen Patienten mit nicht vorbehandelter chronischer lymphatischer Leukämie (CLL) indiziert. </w:t>
            </w:r>
          </w:p>
          <w:p w14:paraId="7CBC5D7C" w14:textId="77777777" w:rsidR="008419FE" w:rsidRDefault="007B15E9" w:rsidP="00C11458">
            <w:pPr>
              <w:rPr>
                <w:rFonts w:ascii="Arial Narrow" w:hAnsi="Arial Narrow"/>
                <w:sz w:val="22"/>
              </w:rPr>
            </w:pPr>
            <w:r w:rsidRPr="007B15E9">
              <w:rPr>
                <w:rFonts w:ascii="Arial Narrow" w:hAnsi="Arial Narrow"/>
                <w:sz w:val="22"/>
              </w:rPr>
              <w:t>Acalabrutinib als Monotherapie ist zur Behandlung von erwachsenen Patienten mit chronischer lymphatischer Leukämie (CLL) indiziert, die mindestens eine Vorbehandlung erhalten haben.</w:t>
            </w:r>
          </w:p>
          <w:p w14:paraId="4B51064F" w14:textId="615B5D80" w:rsidR="008419FE" w:rsidRDefault="007B15E9" w:rsidP="00C11458">
            <w:pPr>
              <w:rPr>
                <w:rFonts w:ascii="Arial Narrow" w:hAnsi="Arial Narrow"/>
                <w:sz w:val="22"/>
              </w:rPr>
            </w:pPr>
            <w:r w:rsidRPr="007B15E9">
              <w:rPr>
                <w:rFonts w:ascii="Arial Narrow" w:hAnsi="Arial Narrow"/>
                <w:sz w:val="22"/>
              </w:rPr>
              <w:t xml:space="preserve">Acalabrutinib in Kombination mit Bendamustin und Rituximab (BR) ist zur Behandlung von erwachsenen Patienten mit nicht vorbehandeltem Mantelzell-Lymphom (MCL) indiziert, die nicht für eine autologe Stammzelltransplantation (ASCT) geeignet sind. </w:t>
            </w:r>
          </w:p>
          <w:p w14:paraId="606B75B1" w14:textId="4C43423D" w:rsidR="008E6675" w:rsidRPr="007F255B" w:rsidRDefault="007B15E9" w:rsidP="00C11458">
            <w:pPr>
              <w:rPr>
                <w:rFonts w:ascii="Arial Narrow" w:hAnsi="Arial Narrow"/>
                <w:sz w:val="22"/>
                <w:szCs w:val="22"/>
              </w:rPr>
            </w:pPr>
            <w:r w:rsidRPr="007B15E9">
              <w:rPr>
                <w:rFonts w:ascii="Arial Narrow" w:hAnsi="Arial Narrow"/>
                <w:sz w:val="22"/>
              </w:rPr>
              <w:t>Acalabrutinib als Monotherapie ist zur Behandlung von erwachsenen Patienten mit rezidiviertem oder refraktärem Mantelzell-Lymphom (MCL) indiziert, die zuvor nicht mit einem BTK-Inhibitor behandelt wurden.</w:t>
            </w:r>
          </w:p>
        </w:tc>
      </w:tr>
    </w:tbl>
    <w:p w14:paraId="2A567A97"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544A3AED" w14:textId="77777777" w:rsidTr="7C272549">
        <w:trPr>
          <w:trHeight w:val="234"/>
        </w:trPr>
        <w:tc>
          <w:tcPr>
            <w:tcW w:w="9212" w:type="dxa"/>
          </w:tcPr>
          <w:p w14:paraId="52A9B9D0" w14:textId="77777777" w:rsidR="008E6675" w:rsidRPr="005638EB" w:rsidRDefault="008E6675" w:rsidP="005638EB">
            <w:pPr>
              <w:rPr>
                <w:rFonts w:ascii="Arial Narrow" w:hAnsi="Arial Narrow"/>
                <w:b/>
              </w:rPr>
            </w:pPr>
            <w:r w:rsidRPr="005638EB">
              <w:rPr>
                <w:rFonts w:ascii="Arial Narrow" w:hAnsi="Arial Narrow"/>
                <w:b/>
                <w:sz w:val="22"/>
              </w:rPr>
              <w:t>Welche bestehende Methode wird durch die neue Methode abgelöst oder ergänzt?</w:t>
            </w:r>
          </w:p>
        </w:tc>
      </w:tr>
      <w:tr w:rsidR="008E6675" w:rsidRPr="007F255B" w14:paraId="6B0057FA" w14:textId="77777777" w:rsidTr="7C272549">
        <w:tc>
          <w:tcPr>
            <w:tcW w:w="9212" w:type="dxa"/>
          </w:tcPr>
          <w:p w14:paraId="3EC3722F" w14:textId="0E7DD59B" w:rsidR="00853337" w:rsidRPr="000D6D1A" w:rsidRDefault="28AB1A34" w:rsidP="35F30AD9">
            <w:pPr>
              <w:rPr>
                <w:rFonts w:ascii="Arial Narrow" w:hAnsi="Arial Narrow"/>
                <w:sz w:val="22"/>
                <w:szCs w:val="22"/>
              </w:rPr>
            </w:pPr>
            <w:r w:rsidRPr="7C272549">
              <w:rPr>
                <w:rFonts w:ascii="Arial Narrow" w:hAnsi="Arial Narrow"/>
                <w:sz w:val="22"/>
                <w:szCs w:val="22"/>
              </w:rPr>
              <w:t xml:space="preserve">Acalabrutinib ergänzt die vorhandenen Therapieoptionen bei der CLL bzw. MCL. Bei diesen Erkrankungen sind die therapeutischen Optionen mittlerweile komplex. Die detaillierten Einsatzgebiete sind in Leitlinien dargelegt, wie z.B. der Onkopedia Leitlinie der DGHO von </w:t>
            </w:r>
            <w:r w:rsidR="00BD2F6C" w:rsidRPr="7C272549">
              <w:rPr>
                <w:rFonts w:ascii="Arial Narrow" w:hAnsi="Arial Narrow"/>
                <w:sz w:val="22"/>
                <w:szCs w:val="22"/>
              </w:rPr>
              <w:t>2025</w:t>
            </w:r>
            <w:r w:rsidRPr="7C272549">
              <w:rPr>
                <w:rFonts w:ascii="Arial Narrow" w:hAnsi="Arial Narrow"/>
                <w:sz w:val="22"/>
                <w:szCs w:val="22"/>
              </w:rPr>
              <w:t xml:space="preserve"> (CLL), bzw. </w:t>
            </w:r>
            <w:r w:rsidR="00BD2F6C" w:rsidRPr="7C272549">
              <w:rPr>
                <w:rFonts w:ascii="Arial Narrow" w:hAnsi="Arial Narrow"/>
                <w:sz w:val="22"/>
                <w:szCs w:val="22"/>
              </w:rPr>
              <w:t>2026</w:t>
            </w:r>
            <w:r w:rsidRPr="7C272549">
              <w:rPr>
                <w:rFonts w:ascii="Arial Narrow" w:hAnsi="Arial Narrow"/>
                <w:sz w:val="22"/>
                <w:szCs w:val="22"/>
              </w:rPr>
              <w:t xml:space="preserve"> (MCL). Andere Therapieoptionen in diesem Gebiet sind z.B. Idelalisib</w:t>
            </w:r>
            <w:r w:rsidR="00BD2F6C" w:rsidRPr="7C272549">
              <w:rPr>
                <w:rFonts w:ascii="Arial Narrow" w:hAnsi="Arial Narrow"/>
                <w:sz w:val="22"/>
                <w:szCs w:val="22"/>
              </w:rPr>
              <w:t xml:space="preserve">, </w:t>
            </w:r>
            <w:r w:rsidRPr="7C272549">
              <w:rPr>
                <w:rFonts w:ascii="Arial Narrow" w:hAnsi="Arial Narrow"/>
                <w:sz w:val="22"/>
                <w:szCs w:val="22"/>
              </w:rPr>
              <w:t>Pirtobrutinib, Zanubrutinib, CAR-T Brexucabtagene, die bereits einen NUB Status 1; und Obinutuzumab, Venetoclax, Ibrutinib, die als Zusatzentgelt erstattet werden. Eine vollständige Abbildung der komplexen Therapieoptionen kann hier nicht vorgenommen werden, es sollen aus ökonomischer Sicht wesentliche Änderungen ohne Anspruch auf Vollständigkeit beschrieben werden.</w:t>
            </w:r>
          </w:p>
        </w:tc>
      </w:tr>
    </w:tbl>
    <w:p w14:paraId="073C0909"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CC85E94" w14:textId="77777777">
        <w:tc>
          <w:tcPr>
            <w:tcW w:w="9212" w:type="dxa"/>
          </w:tcPr>
          <w:p w14:paraId="25335173" w14:textId="77777777" w:rsidR="008E6675" w:rsidRPr="005638EB" w:rsidRDefault="008E6675" w:rsidP="00E92C57">
            <w:pPr>
              <w:rPr>
                <w:rFonts w:ascii="Arial Narrow" w:hAnsi="Arial Narrow"/>
                <w:b/>
              </w:rPr>
            </w:pPr>
            <w:r w:rsidRPr="005638EB">
              <w:rPr>
                <w:rFonts w:ascii="Arial Narrow" w:hAnsi="Arial Narrow"/>
                <w:b/>
                <w:sz w:val="22"/>
              </w:rPr>
              <w:t>Ist die Methode vollständig oder in Teilen neu und warum handelt es sich um eine neue Untersuchungs- und Behandlungsmethode?</w:t>
            </w:r>
          </w:p>
        </w:tc>
      </w:tr>
      <w:tr w:rsidR="008E6675" w:rsidRPr="005638EB" w14:paraId="402C1327" w14:textId="77777777">
        <w:tc>
          <w:tcPr>
            <w:tcW w:w="9212" w:type="dxa"/>
          </w:tcPr>
          <w:p w14:paraId="6B1FDB47" w14:textId="3E26CCED" w:rsidR="008E6675" w:rsidRPr="00EB700F" w:rsidRDefault="008E6675" w:rsidP="00C11458">
            <w:pPr>
              <w:rPr>
                <w:rFonts w:ascii="Arial Narrow" w:hAnsi="Arial Narrow"/>
                <w:sz w:val="22"/>
                <w:szCs w:val="22"/>
              </w:rPr>
            </w:pPr>
            <w:r w:rsidRPr="0036325A">
              <w:rPr>
                <w:rFonts w:ascii="Arial Narrow" w:hAnsi="Arial Narrow"/>
                <w:sz w:val="22"/>
                <w:szCs w:val="22"/>
              </w:rPr>
              <w:t>In den Informatione</w:t>
            </w:r>
            <w:r w:rsidR="00C11458">
              <w:rPr>
                <w:rFonts w:ascii="Arial Narrow" w:hAnsi="Arial Narrow"/>
                <w:sz w:val="22"/>
                <w:szCs w:val="22"/>
              </w:rPr>
              <w:t>n nach §6 Abs. 2 KHEntgG für 202</w:t>
            </w:r>
            <w:r w:rsidR="00707216">
              <w:rPr>
                <w:rFonts w:ascii="Arial Narrow" w:hAnsi="Arial Narrow"/>
                <w:sz w:val="22"/>
                <w:szCs w:val="22"/>
              </w:rPr>
              <w:t>6</w:t>
            </w:r>
            <w:r w:rsidRPr="0036325A">
              <w:rPr>
                <w:rFonts w:ascii="Arial Narrow" w:hAnsi="Arial Narrow"/>
                <w:sz w:val="22"/>
                <w:szCs w:val="22"/>
              </w:rPr>
              <w:t xml:space="preserve"> hat </w:t>
            </w:r>
            <w:r w:rsidR="00EB700F" w:rsidRPr="00EB700F">
              <w:rPr>
                <w:rFonts w:ascii="Arial Narrow" w:hAnsi="Arial Narrow"/>
                <w:sz w:val="22"/>
                <w:szCs w:val="22"/>
              </w:rPr>
              <w:t xml:space="preserve">Acalabrutinib </w:t>
            </w:r>
            <w:r w:rsidRPr="0036325A">
              <w:rPr>
                <w:rFonts w:ascii="Arial Narrow" w:hAnsi="Arial Narrow"/>
                <w:sz w:val="22"/>
                <w:szCs w:val="22"/>
              </w:rPr>
              <w:t xml:space="preserve">den Status </w:t>
            </w:r>
            <w:r w:rsidR="00EB700F">
              <w:rPr>
                <w:rFonts w:ascii="Arial Narrow" w:hAnsi="Arial Narrow"/>
                <w:sz w:val="22"/>
                <w:szCs w:val="22"/>
              </w:rPr>
              <w:t>1</w:t>
            </w:r>
            <w:r w:rsidR="00044597">
              <w:rPr>
                <w:rFonts w:ascii="Arial Narrow" w:hAnsi="Arial Narrow"/>
                <w:sz w:val="22"/>
                <w:szCs w:val="22"/>
              </w:rPr>
              <w:t>.</w:t>
            </w:r>
          </w:p>
        </w:tc>
      </w:tr>
    </w:tbl>
    <w:p w14:paraId="75E7896B"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A2055" w14:textId="77777777">
        <w:tc>
          <w:tcPr>
            <w:tcW w:w="9212" w:type="dxa"/>
          </w:tcPr>
          <w:p w14:paraId="4E8FCE4C" w14:textId="77777777" w:rsidR="008E6675" w:rsidRPr="005638EB" w:rsidRDefault="008E6675" w:rsidP="005638EB">
            <w:pPr>
              <w:rPr>
                <w:rFonts w:ascii="Arial Narrow" w:hAnsi="Arial Narrow"/>
                <w:b/>
              </w:rPr>
            </w:pPr>
            <w:r w:rsidRPr="005638EB">
              <w:rPr>
                <w:rFonts w:ascii="Arial Narrow" w:hAnsi="Arial Narrow"/>
                <w:b/>
                <w:sz w:val="22"/>
              </w:rPr>
              <w:t>Welche Auswirkungen hat die Methode auf die Verweildauer im Krankenhaus?</w:t>
            </w:r>
          </w:p>
        </w:tc>
      </w:tr>
      <w:tr w:rsidR="008E6675" w:rsidRPr="005638EB" w14:paraId="5C15DE82" w14:textId="77777777">
        <w:trPr>
          <w:trHeight w:val="264"/>
        </w:trPr>
        <w:tc>
          <w:tcPr>
            <w:tcW w:w="9212" w:type="dxa"/>
          </w:tcPr>
          <w:p w14:paraId="19E75E35" w14:textId="1F78DB13" w:rsidR="00A530BE" w:rsidRPr="005638EB" w:rsidRDefault="008E6675" w:rsidP="005638EB">
            <w:pPr>
              <w:rPr>
                <w:rFonts w:ascii="Arial Narrow" w:hAnsi="Arial Narrow"/>
              </w:rPr>
            </w:pPr>
            <w:r w:rsidRPr="005638EB">
              <w:rPr>
                <w:rFonts w:ascii="Arial Narrow" w:hAnsi="Arial Narrow"/>
                <w:sz w:val="22"/>
              </w:rPr>
              <w:lastRenderedPageBreak/>
              <w:t>Zur Veränderung der Verweildauer im Krankenhaus können derzeit aufgrund fehlender Erfahrungen keine Aussagen gemacht werden.</w:t>
            </w:r>
          </w:p>
        </w:tc>
      </w:tr>
    </w:tbl>
    <w:p w14:paraId="4E061776"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BCFFEC8" w14:textId="77777777" w:rsidTr="35F30AD9">
        <w:tc>
          <w:tcPr>
            <w:tcW w:w="9212" w:type="dxa"/>
          </w:tcPr>
          <w:p w14:paraId="5ABEFBD5" w14:textId="77777777" w:rsidR="008E6675" w:rsidRPr="005638EB" w:rsidRDefault="6B76347B" w:rsidP="35F30AD9">
            <w:pPr>
              <w:rPr>
                <w:rFonts w:ascii="Arial Narrow" w:hAnsi="Arial Narrow"/>
                <w:b/>
                <w:bCs/>
              </w:rPr>
            </w:pPr>
            <w:r w:rsidRPr="35F30AD9">
              <w:rPr>
                <w:rFonts w:ascii="Arial Narrow" w:hAnsi="Arial Narrow"/>
                <w:b/>
                <w:bCs/>
                <w:sz w:val="22"/>
                <w:szCs w:val="22"/>
              </w:rPr>
              <w:t>Wann wurde diese Methode in Deutschland eingeführt?</w:t>
            </w:r>
          </w:p>
        </w:tc>
      </w:tr>
      <w:tr w:rsidR="008E6675" w:rsidRPr="007F255B" w14:paraId="0DF8F781" w14:textId="77777777" w:rsidTr="35F30AD9">
        <w:tc>
          <w:tcPr>
            <w:tcW w:w="9212" w:type="dxa"/>
          </w:tcPr>
          <w:p w14:paraId="256E27C8" w14:textId="1D5604BE" w:rsidR="00D14350" w:rsidRPr="00422874" w:rsidRDefault="001453D6" w:rsidP="00C112A6">
            <w:pPr>
              <w:rPr>
                <w:rFonts w:ascii="Arial Narrow" w:hAnsi="Arial Narrow"/>
                <w:sz w:val="22"/>
              </w:rPr>
            </w:pPr>
            <w:r w:rsidRPr="001453D6">
              <w:rPr>
                <w:rFonts w:ascii="Arial Narrow" w:hAnsi="Arial Narrow"/>
                <w:sz w:val="22"/>
              </w:rPr>
              <w:t>2020</w:t>
            </w:r>
          </w:p>
        </w:tc>
      </w:tr>
    </w:tbl>
    <w:p w14:paraId="233BCD28"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956DB" w14:textId="77777777" w:rsidTr="18503A05">
        <w:tc>
          <w:tcPr>
            <w:tcW w:w="9212" w:type="dxa"/>
          </w:tcPr>
          <w:p w14:paraId="483A4156" w14:textId="77777777" w:rsidR="008E6675" w:rsidRPr="005638EB" w:rsidRDefault="008E6675" w:rsidP="005638EB">
            <w:pPr>
              <w:rPr>
                <w:rFonts w:ascii="Arial Narrow" w:hAnsi="Arial Narrow"/>
                <w:b/>
              </w:rPr>
            </w:pPr>
            <w:r w:rsidRPr="005638EB">
              <w:rPr>
                <w:rFonts w:ascii="Arial Narrow" w:hAnsi="Arial Narrow"/>
                <w:b/>
                <w:sz w:val="22"/>
              </w:rPr>
              <w:t>Bei Medikamenten: Wann wurde dieses Medikament zugelassen?</w:t>
            </w:r>
          </w:p>
        </w:tc>
      </w:tr>
      <w:tr w:rsidR="008E6675" w:rsidRPr="007F255B" w14:paraId="1264FF24" w14:textId="77777777" w:rsidTr="00A331A3">
        <w:trPr>
          <w:trHeight w:val="840"/>
        </w:trPr>
        <w:tc>
          <w:tcPr>
            <w:tcW w:w="9212" w:type="dxa"/>
          </w:tcPr>
          <w:p w14:paraId="352BEB60" w14:textId="6AFAEB0C" w:rsidR="00044597" w:rsidRPr="00C112A6" w:rsidRDefault="410C60D8" w:rsidP="00C112A6">
            <w:r w:rsidRPr="30241C16">
              <w:rPr>
                <w:rFonts w:ascii="Arial Narrow" w:hAnsi="Arial Narrow"/>
                <w:sz w:val="22"/>
                <w:szCs w:val="22"/>
              </w:rPr>
              <w:t>05.11.2020</w:t>
            </w:r>
            <w:r w:rsidR="4D05D25E" w:rsidRPr="30241C16">
              <w:rPr>
                <w:rFonts w:ascii="Arial Narrow" w:hAnsi="Arial Narrow"/>
                <w:sz w:val="22"/>
                <w:szCs w:val="22"/>
              </w:rPr>
              <w:t xml:space="preserve"> (Erstzulassung CLL</w:t>
            </w:r>
            <w:r w:rsidR="00B810B3">
              <w:rPr>
                <w:rFonts w:ascii="Arial Narrow" w:hAnsi="Arial Narrow"/>
                <w:sz w:val="22"/>
                <w:szCs w:val="22"/>
              </w:rPr>
              <w:t xml:space="preserve">, mit </w:t>
            </w:r>
            <w:r w:rsidR="009A1D05">
              <w:rPr>
                <w:rFonts w:ascii="Arial Narrow" w:hAnsi="Arial Narrow"/>
                <w:sz w:val="22"/>
                <w:szCs w:val="22"/>
              </w:rPr>
              <w:t>oder</w:t>
            </w:r>
            <w:r w:rsidR="00B810B3">
              <w:rPr>
                <w:rFonts w:ascii="Arial Narrow" w:hAnsi="Arial Narrow"/>
                <w:sz w:val="22"/>
                <w:szCs w:val="22"/>
              </w:rPr>
              <w:t xml:space="preserve"> ohne Obinutuzumab</w:t>
            </w:r>
            <w:r w:rsidR="4D05D25E" w:rsidRPr="30241C16">
              <w:rPr>
                <w:rFonts w:ascii="Arial Narrow" w:hAnsi="Arial Narrow"/>
                <w:sz w:val="22"/>
                <w:szCs w:val="22"/>
              </w:rPr>
              <w:t>)</w:t>
            </w:r>
          </w:p>
          <w:p w14:paraId="76D187B6" w14:textId="46040572" w:rsidR="00044597" w:rsidRPr="00C112A6" w:rsidRDefault="4D05D25E" w:rsidP="00C112A6">
            <w:r w:rsidRPr="30241C16">
              <w:rPr>
                <w:rFonts w:ascii="Arial Narrow" w:hAnsi="Arial Narrow"/>
                <w:sz w:val="22"/>
                <w:szCs w:val="22"/>
              </w:rPr>
              <w:t xml:space="preserve">02.05.2025 </w:t>
            </w:r>
            <w:r w:rsidR="0DB1B7A2" w:rsidRPr="30241C16">
              <w:rPr>
                <w:rFonts w:ascii="Arial Narrow" w:hAnsi="Arial Narrow"/>
                <w:sz w:val="22"/>
                <w:szCs w:val="22"/>
              </w:rPr>
              <w:t>(</w:t>
            </w:r>
            <w:r w:rsidRPr="30241C16">
              <w:rPr>
                <w:rFonts w:ascii="Arial Narrow" w:hAnsi="Arial Narrow"/>
                <w:sz w:val="22"/>
                <w:szCs w:val="22"/>
              </w:rPr>
              <w:t>MCL 1L</w:t>
            </w:r>
            <w:r w:rsidR="008124DD">
              <w:rPr>
                <w:rFonts w:ascii="Arial Narrow" w:hAnsi="Arial Narrow"/>
                <w:sz w:val="22"/>
                <w:szCs w:val="22"/>
              </w:rPr>
              <w:t xml:space="preserve"> Kombination mit Bendamustin und Rituximab</w:t>
            </w:r>
            <w:r w:rsidRPr="30241C16">
              <w:rPr>
                <w:rFonts w:ascii="Arial Narrow" w:hAnsi="Arial Narrow"/>
                <w:sz w:val="22"/>
                <w:szCs w:val="22"/>
              </w:rPr>
              <w:t>, MCL R/R</w:t>
            </w:r>
            <w:r w:rsidR="008124DD">
              <w:rPr>
                <w:rFonts w:ascii="Arial Narrow" w:hAnsi="Arial Narrow"/>
                <w:sz w:val="22"/>
                <w:szCs w:val="22"/>
              </w:rPr>
              <w:t xml:space="preserve"> Monotherapie</w:t>
            </w:r>
            <w:r w:rsidR="12140E4E" w:rsidRPr="30241C16">
              <w:rPr>
                <w:rFonts w:ascii="Arial Narrow" w:hAnsi="Arial Narrow"/>
                <w:sz w:val="22"/>
                <w:szCs w:val="22"/>
              </w:rPr>
              <w:t>)</w:t>
            </w:r>
          </w:p>
          <w:p w14:paraId="7BB60EDC" w14:textId="489DD2B0" w:rsidR="00044597" w:rsidRPr="00C112A6" w:rsidRDefault="4D05D25E" w:rsidP="30241C16">
            <w:pPr>
              <w:rPr>
                <w:rFonts w:ascii="Arial Narrow" w:hAnsi="Arial Narrow"/>
                <w:sz w:val="22"/>
                <w:szCs w:val="22"/>
              </w:rPr>
            </w:pPr>
            <w:r w:rsidRPr="30241C16">
              <w:rPr>
                <w:rFonts w:ascii="Arial Narrow" w:hAnsi="Arial Narrow"/>
                <w:sz w:val="22"/>
                <w:szCs w:val="22"/>
              </w:rPr>
              <w:t xml:space="preserve">02.06.2025 </w:t>
            </w:r>
            <w:r w:rsidR="549AA6E0" w:rsidRPr="30241C16">
              <w:rPr>
                <w:rFonts w:ascii="Arial Narrow" w:hAnsi="Arial Narrow"/>
                <w:sz w:val="22"/>
                <w:szCs w:val="22"/>
              </w:rPr>
              <w:t>(</w:t>
            </w:r>
            <w:r w:rsidRPr="30241C16">
              <w:rPr>
                <w:rFonts w:ascii="Arial Narrow" w:hAnsi="Arial Narrow"/>
                <w:sz w:val="22"/>
                <w:szCs w:val="22"/>
              </w:rPr>
              <w:t xml:space="preserve">CLL 1L </w:t>
            </w:r>
            <w:r w:rsidR="009A1D05">
              <w:rPr>
                <w:rFonts w:ascii="Arial Narrow" w:hAnsi="Arial Narrow"/>
                <w:sz w:val="22"/>
                <w:szCs w:val="22"/>
              </w:rPr>
              <w:t xml:space="preserve">Kombination mit Venetoclax, mit oder ohne </w:t>
            </w:r>
            <w:r w:rsidR="00342302">
              <w:rPr>
                <w:rFonts w:ascii="Arial Narrow" w:hAnsi="Arial Narrow"/>
                <w:sz w:val="22"/>
                <w:szCs w:val="22"/>
              </w:rPr>
              <w:t>Obinutuzumab, zeitlich begrenzte Therapie</w:t>
            </w:r>
            <w:r w:rsidR="009A1D05">
              <w:rPr>
                <w:rFonts w:ascii="Arial Narrow" w:hAnsi="Arial Narrow"/>
                <w:sz w:val="22"/>
                <w:szCs w:val="22"/>
              </w:rPr>
              <w:t xml:space="preserve"> </w:t>
            </w:r>
            <w:r w:rsidR="336C5FA2" w:rsidRPr="30241C16">
              <w:rPr>
                <w:rFonts w:ascii="Arial Narrow" w:hAnsi="Arial Narrow"/>
                <w:sz w:val="22"/>
                <w:szCs w:val="22"/>
              </w:rPr>
              <w:t>)</w:t>
            </w:r>
          </w:p>
        </w:tc>
      </w:tr>
    </w:tbl>
    <w:p w14:paraId="479CCD3D"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4374391" w14:textId="77777777">
        <w:tc>
          <w:tcPr>
            <w:tcW w:w="9212" w:type="dxa"/>
          </w:tcPr>
          <w:p w14:paraId="657A69BC" w14:textId="77777777" w:rsidR="008E6675" w:rsidRPr="005638EB" w:rsidRDefault="008E6675" w:rsidP="005638EB">
            <w:pPr>
              <w:rPr>
                <w:rFonts w:ascii="Arial Narrow" w:hAnsi="Arial Narrow"/>
                <w:b/>
              </w:rPr>
            </w:pPr>
            <w:r w:rsidRPr="005638EB">
              <w:rPr>
                <w:rFonts w:ascii="Arial Narrow" w:hAnsi="Arial Narrow"/>
                <w:b/>
                <w:sz w:val="22"/>
              </w:rPr>
              <w:t xml:space="preserve">Wann wurde </w:t>
            </w:r>
            <w:r w:rsidR="002333FF">
              <w:rPr>
                <w:rFonts w:ascii="Arial Narrow" w:hAnsi="Arial Narrow"/>
                <w:b/>
                <w:sz w:val="22"/>
              </w:rPr>
              <w:t xml:space="preserve">bzw. wird </w:t>
            </w:r>
            <w:r w:rsidRPr="005638EB">
              <w:rPr>
                <w:rFonts w:ascii="Arial Narrow" w:hAnsi="Arial Narrow"/>
                <w:b/>
                <w:sz w:val="22"/>
              </w:rPr>
              <w:t>die Methode in Ihrem Krankenhaus eingeführt?</w:t>
            </w:r>
          </w:p>
        </w:tc>
      </w:tr>
      <w:tr w:rsidR="008E6675" w:rsidRPr="005638EB" w14:paraId="4BC61AB6" w14:textId="77777777">
        <w:tc>
          <w:tcPr>
            <w:tcW w:w="9212" w:type="dxa"/>
          </w:tcPr>
          <w:p w14:paraId="7727C539" w14:textId="77777777" w:rsidR="008E6675" w:rsidRPr="005638EB" w:rsidRDefault="00983554" w:rsidP="005638EB">
            <w:pPr>
              <w:rPr>
                <w:rFonts w:ascii="Arial Narrow" w:hAnsi="Arial Narrow"/>
              </w:rPr>
            </w:pPr>
            <w:r w:rsidRPr="00983554">
              <w:rPr>
                <w:rFonts w:ascii="Arial Narrow" w:hAnsi="Arial Narrow"/>
                <w:sz w:val="22"/>
                <w:highlight w:val="yellow"/>
              </w:rPr>
              <w:t>[bitte ergänzen]</w:t>
            </w:r>
          </w:p>
        </w:tc>
      </w:tr>
    </w:tbl>
    <w:p w14:paraId="09FB8D77"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D6635CC" w14:textId="77777777">
        <w:tc>
          <w:tcPr>
            <w:tcW w:w="9212" w:type="dxa"/>
          </w:tcPr>
          <w:p w14:paraId="126EBD70" w14:textId="77777777" w:rsidR="008E6675" w:rsidRPr="005638EB" w:rsidRDefault="008E6675" w:rsidP="005638EB">
            <w:pPr>
              <w:rPr>
                <w:rFonts w:ascii="Arial Narrow" w:hAnsi="Arial Narrow"/>
                <w:b/>
              </w:rPr>
            </w:pPr>
            <w:r w:rsidRPr="005638EB">
              <w:rPr>
                <w:rFonts w:ascii="Arial Narrow" w:hAnsi="Arial Narrow"/>
                <w:b/>
                <w:sz w:val="22"/>
              </w:rPr>
              <w:t>In wie vielen Kliniken wird diese Methode derzeit eingesetzt (Schätzung)?</w:t>
            </w:r>
          </w:p>
        </w:tc>
      </w:tr>
      <w:tr w:rsidR="008E6675" w:rsidRPr="005638EB" w14:paraId="4C00526F" w14:textId="77777777">
        <w:tc>
          <w:tcPr>
            <w:tcW w:w="9212" w:type="dxa"/>
          </w:tcPr>
          <w:p w14:paraId="21DD9094" w14:textId="216FFE23" w:rsidR="00C112A6" w:rsidRPr="00291CA1" w:rsidRDefault="00621BB5" w:rsidP="00C112A6">
            <w:pPr>
              <w:rPr>
                <w:rFonts w:ascii="Arial Narrow" w:hAnsi="Arial Narrow"/>
                <w:sz w:val="22"/>
              </w:rPr>
            </w:pPr>
            <w:r w:rsidRPr="00EB700F">
              <w:rPr>
                <w:rFonts w:ascii="Arial Narrow" w:hAnsi="Arial Narrow"/>
                <w:sz w:val="22"/>
                <w:szCs w:val="22"/>
              </w:rPr>
              <w:t xml:space="preserve">Acalabrutinib </w:t>
            </w:r>
            <w:r w:rsidR="008E6675" w:rsidRPr="00F000AA">
              <w:rPr>
                <w:rFonts w:ascii="Arial Narrow" w:hAnsi="Arial Narrow"/>
                <w:sz w:val="22"/>
              </w:rPr>
              <w:t xml:space="preserve">wird in ca. </w:t>
            </w:r>
            <w:r>
              <w:rPr>
                <w:rFonts w:ascii="Arial Narrow" w:hAnsi="Arial Narrow"/>
                <w:sz w:val="22"/>
              </w:rPr>
              <w:t>520</w:t>
            </w:r>
            <w:r w:rsidR="008E6675" w:rsidRPr="00F000AA">
              <w:rPr>
                <w:rFonts w:ascii="Arial Narrow" w:hAnsi="Arial Narrow"/>
                <w:sz w:val="22"/>
              </w:rPr>
              <w:t xml:space="preserve"> Kliniken in Deutschland eingesetzt (Schätzung</w:t>
            </w:r>
            <w:r w:rsidR="00A100DC">
              <w:rPr>
                <w:rFonts w:ascii="Arial Narrow" w:hAnsi="Arial Narrow"/>
                <w:sz w:val="22"/>
              </w:rPr>
              <w:t xml:space="preserve"> aufgrund der NUB-Anfragen</w:t>
            </w:r>
            <w:r w:rsidR="008E6675">
              <w:rPr>
                <w:rFonts w:ascii="Arial Narrow" w:hAnsi="Arial Narrow"/>
                <w:sz w:val="22"/>
              </w:rPr>
              <w:t xml:space="preserve"> </w:t>
            </w:r>
            <w:r w:rsidR="00C112A6">
              <w:rPr>
                <w:rFonts w:ascii="Arial Narrow" w:hAnsi="Arial Narrow"/>
                <w:sz w:val="22"/>
              </w:rPr>
              <w:t>des Vorjahres</w:t>
            </w:r>
            <w:r w:rsidR="008E6675" w:rsidRPr="00F000AA">
              <w:rPr>
                <w:rFonts w:ascii="Arial Narrow" w:hAnsi="Arial Narrow"/>
                <w:sz w:val="22"/>
              </w:rPr>
              <w:t>).</w:t>
            </w:r>
          </w:p>
        </w:tc>
      </w:tr>
    </w:tbl>
    <w:p w14:paraId="43674FE7"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BCF6BA3" w14:textId="77777777">
        <w:tc>
          <w:tcPr>
            <w:tcW w:w="9212" w:type="dxa"/>
          </w:tcPr>
          <w:p w14:paraId="6D713A1D" w14:textId="0D5B1E11" w:rsidR="008E6675" w:rsidRPr="005638EB" w:rsidRDefault="008E6675" w:rsidP="00285AE4">
            <w:pPr>
              <w:rPr>
                <w:rFonts w:ascii="Arial Narrow" w:hAnsi="Arial Narrow"/>
              </w:rPr>
            </w:pPr>
            <w:r w:rsidRPr="008C1686">
              <w:rPr>
                <w:rFonts w:ascii="Arial Narrow" w:hAnsi="Arial Narrow"/>
                <w:b/>
                <w:sz w:val="22"/>
              </w:rPr>
              <w:t>Wie viele Patienten wur</w:t>
            </w:r>
            <w:r w:rsidR="000953D2">
              <w:rPr>
                <w:rFonts w:ascii="Arial Narrow" w:hAnsi="Arial Narrow"/>
                <w:b/>
                <w:sz w:val="22"/>
              </w:rPr>
              <w:t>den in Ihrem Krankenhaus in 202</w:t>
            </w:r>
            <w:r w:rsidR="00BC47BA">
              <w:rPr>
                <w:rFonts w:ascii="Arial Narrow" w:hAnsi="Arial Narrow"/>
                <w:b/>
                <w:sz w:val="22"/>
              </w:rPr>
              <w:t>5</w:t>
            </w:r>
            <w:r w:rsidR="000953D2">
              <w:rPr>
                <w:rFonts w:ascii="Arial Narrow" w:hAnsi="Arial Narrow"/>
                <w:b/>
                <w:sz w:val="22"/>
              </w:rPr>
              <w:t xml:space="preserve"> oder in 202</w:t>
            </w:r>
            <w:r w:rsidR="003E21E9">
              <w:rPr>
                <w:rFonts w:ascii="Arial Narrow" w:hAnsi="Arial Narrow"/>
                <w:b/>
                <w:sz w:val="22"/>
              </w:rPr>
              <w:t>6</w:t>
            </w:r>
            <w:r w:rsidRPr="008C1686">
              <w:rPr>
                <w:rFonts w:ascii="Arial Narrow" w:hAnsi="Arial Narrow"/>
                <w:b/>
                <w:sz w:val="22"/>
              </w:rPr>
              <w:t xml:space="preserve"> mit dieser Methode behandelt?</w:t>
            </w:r>
          </w:p>
        </w:tc>
      </w:tr>
      <w:tr w:rsidR="008E6675" w:rsidRPr="00AB10BF" w14:paraId="5CCFBAD3" w14:textId="77777777">
        <w:tc>
          <w:tcPr>
            <w:tcW w:w="9212" w:type="dxa"/>
          </w:tcPr>
          <w:p w14:paraId="4F6124DB" w14:textId="7B9D37EE"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1073E2">
              <w:rPr>
                <w:rFonts w:ascii="Arial Narrow" w:hAnsi="Arial Narrow"/>
                <w:sz w:val="22"/>
              </w:rPr>
              <w:t>5</w:t>
            </w:r>
          </w:p>
        </w:tc>
      </w:tr>
      <w:tr w:rsidR="00983554" w:rsidRPr="005638EB" w14:paraId="1992E6A2" w14:textId="77777777">
        <w:tc>
          <w:tcPr>
            <w:tcW w:w="9212" w:type="dxa"/>
          </w:tcPr>
          <w:p w14:paraId="283F259E"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r w:rsidR="008E6675" w:rsidRPr="00AB10BF" w14:paraId="175E4977" w14:textId="77777777">
        <w:tc>
          <w:tcPr>
            <w:tcW w:w="9212" w:type="dxa"/>
          </w:tcPr>
          <w:p w14:paraId="33A68C3A" w14:textId="5977A9C8"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970724">
              <w:rPr>
                <w:rFonts w:ascii="Arial Narrow" w:hAnsi="Arial Narrow"/>
                <w:sz w:val="22"/>
              </w:rPr>
              <w:t>6</w:t>
            </w:r>
          </w:p>
        </w:tc>
      </w:tr>
      <w:tr w:rsidR="00983554" w:rsidRPr="005638EB" w14:paraId="6BABCFC8" w14:textId="77777777">
        <w:tc>
          <w:tcPr>
            <w:tcW w:w="9212" w:type="dxa"/>
          </w:tcPr>
          <w:p w14:paraId="17351D25"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394F2677"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9B8805A" w14:textId="77777777">
        <w:tc>
          <w:tcPr>
            <w:tcW w:w="9212" w:type="dxa"/>
          </w:tcPr>
          <w:p w14:paraId="2C8371FB" w14:textId="5EB95577" w:rsidR="008E6675" w:rsidRPr="005638EB" w:rsidRDefault="008E6675" w:rsidP="00285AE4">
            <w:pPr>
              <w:rPr>
                <w:rFonts w:ascii="Arial Narrow" w:hAnsi="Arial Narrow"/>
              </w:rPr>
            </w:pPr>
            <w:r w:rsidRPr="008C1686">
              <w:rPr>
                <w:rFonts w:ascii="Arial Narrow" w:hAnsi="Arial Narrow"/>
                <w:b/>
                <w:sz w:val="22"/>
              </w:rPr>
              <w:t>Wieviele P</w:t>
            </w:r>
            <w:r w:rsidR="00A530BE">
              <w:rPr>
                <w:rFonts w:ascii="Arial Narrow" w:hAnsi="Arial Narrow"/>
                <w:b/>
                <w:sz w:val="22"/>
              </w:rPr>
              <w:t>atienten planen Sie im Jahr 20</w:t>
            </w:r>
            <w:r w:rsidR="000953D2">
              <w:rPr>
                <w:rFonts w:ascii="Arial Narrow" w:hAnsi="Arial Narrow"/>
                <w:b/>
                <w:sz w:val="22"/>
              </w:rPr>
              <w:t>2</w:t>
            </w:r>
            <w:r w:rsidR="00F75470">
              <w:rPr>
                <w:rFonts w:ascii="Arial Narrow" w:hAnsi="Arial Narrow"/>
                <w:b/>
                <w:sz w:val="22"/>
              </w:rPr>
              <w:t>7</w:t>
            </w:r>
            <w:r w:rsidRPr="008C1686">
              <w:rPr>
                <w:rFonts w:ascii="Arial Narrow" w:hAnsi="Arial Narrow"/>
                <w:b/>
                <w:sz w:val="22"/>
              </w:rPr>
              <w:t xml:space="preserve"> mit dieser Methode zu behandeln?</w:t>
            </w:r>
          </w:p>
        </w:tc>
      </w:tr>
      <w:tr w:rsidR="00983554" w:rsidRPr="005638EB" w14:paraId="742C5EF0" w14:textId="77777777">
        <w:tc>
          <w:tcPr>
            <w:tcW w:w="9212" w:type="dxa"/>
          </w:tcPr>
          <w:p w14:paraId="4620D230"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654325C8"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4A6A805" w14:textId="77777777" w:rsidTr="30241C16">
        <w:tc>
          <w:tcPr>
            <w:tcW w:w="9212" w:type="dxa"/>
          </w:tcPr>
          <w:p w14:paraId="5C0D4897" w14:textId="77777777" w:rsidR="008E6675" w:rsidRPr="005638EB" w:rsidRDefault="008E6675" w:rsidP="005638EB">
            <w:pPr>
              <w:rPr>
                <w:rFonts w:ascii="Arial Narrow" w:hAnsi="Arial Narrow"/>
              </w:rPr>
            </w:pPr>
            <w:r w:rsidRPr="008C1686">
              <w:rPr>
                <w:rFonts w:ascii="Arial Narrow" w:hAnsi="Arial Narrow"/>
                <w:b/>
                <w:sz w:val="22"/>
              </w:rPr>
              <w:t>Entstehen durch die neue Methode Mehrkosten gegenüber dem bisher üblichen Verfahren? Wenn ja, wodurch? In welcher Höhe (möglichst aufgetrennt nach Personal- und Sachkosten)?</w:t>
            </w:r>
          </w:p>
        </w:tc>
      </w:tr>
      <w:tr w:rsidR="008E6675" w:rsidRPr="005638EB" w14:paraId="169DFC57" w14:textId="77777777" w:rsidTr="30241C16">
        <w:tc>
          <w:tcPr>
            <w:tcW w:w="9212" w:type="dxa"/>
          </w:tcPr>
          <w:p w14:paraId="751D12DE" w14:textId="77777777" w:rsidR="000953D2" w:rsidRDefault="008E6675" w:rsidP="005638EB">
            <w:pPr>
              <w:rPr>
                <w:rFonts w:ascii="Arial Narrow" w:hAnsi="Arial Narrow"/>
                <w:sz w:val="22"/>
              </w:rPr>
            </w:pPr>
            <w:r w:rsidRPr="005638EB">
              <w:rPr>
                <w:rFonts w:ascii="Arial Narrow" w:hAnsi="Arial Narrow"/>
                <w:sz w:val="22"/>
              </w:rPr>
              <w:t xml:space="preserve">Sachkosten: </w:t>
            </w:r>
          </w:p>
          <w:p w14:paraId="2AEC9338" w14:textId="7349CCD9" w:rsidR="004F69A3" w:rsidRDefault="42E1FB0E" w:rsidP="35F30AD9">
            <w:pPr>
              <w:rPr>
                <w:rFonts w:ascii="Arial Narrow" w:hAnsi="Arial Narrow"/>
                <w:sz w:val="22"/>
                <w:szCs w:val="22"/>
              </w:rPr>
            </w:pPr>
            <w:r w:rsidRPr="30241C16">
              <w:rPr>
                <w:rFonts w:ascii="Arial Narrow" w:hAnsi="Arial Narrow"/>
                <w:sz w:val="22"/>
                <w:szCs w:val="22"/>
              </w:rPr>
              <w:t>Die Dosierung beträgt 200 mg pro Tag, entsprechend 2 Filmtabletten á 100 mg.</w:t>
            </w:r>
          </w:p>
          <w:p w14:paraId="436977CD" w14:textId="2C10C288" w:rsidR="000953D2" w:rsidRPr="00541B64" w:rsidRDefault="000953D2" w:rsidP="30241C16">
            <w:pPr>
              <w:rPr>
                <w:rFonts w:ascii="Arial Narrow" w:hAnsi="Arial Narrow"/>
                <w:sz w:val="22"/>
                <w:szCs w:val="22"/>
              </w:rPr>
            </w:pPr>
            <w:r w:rsidRPr="30241C16">
              <w:rPr>
                <w:rFonts w:ascii="Arial Narrow" w:hAnsi="Arial Narrow"/>
                <w:sz w:val="22"/>
                <w:szCs w:val="22"/>
              </w:rPr>
              <w:t>Der Preis pro Packung (N</w:t>
            </w:r>
            <w:r w:rsidR="007826A2" w:rsidRPr="30241C16">
              <w:rPr>
                <w:rFonts w:ascii="Arial Narrow" w:hAnsi="Arial Narrow"/>
                <w:sz w:val="22"/>
                <w:szCs w:val="22"/>
              </w:rPr>
              <w:t>2</w:t>
            </w:r>
            <w:r w:rsidRPr="30241C16">
              <w:rPr>
                <w:rFonts w:ascii="Arial Narrow" w:hAnsi="Arial Narrow"/>
                <w:sz w:val="22"/>
                <w:szCs w:val="22"/>
              </w:rPr>
              <w:t xml:space="preserve">) beträgt </w:t>
            </w:r>
            <w:r w:rsidR="00C50916" w:rsidRPr="30241C16">
              <w:rPr>
                <w:rFonts w:ascii="Arial Narrow" w:hAnsi="Arial Narrow"/>
                <w:sz w:val="22"/>
                <w:szCs w:val="22"/>
              </w:rPr>
              <w:t>6.</w:t>
            </w:r>
            <w:r w:rsidR="005850C3" w:rsidRPr="30241C16">
              <w:rPr>
                <w:rFonts w:ascii="Arial Narrow" w:hAnsi="Arial Narrow"/>
                <w:sz w:val="22"/>
                <w:szCs w:val="22"/>
              </w:rPr>
              <w:t>181,90</w:t>
            </w:r>
            <w:r w:rsidRPr="30241C16">
              <w:rPr>
                <w:rFonts w:ascii="Arial Narrow" w:hAnsi="Arial Narrow"/>
                <w:sz w:val="22"/>
                <w:szCs w:val="22"/>
              </w:rPr>
              <w:t xml:space="preserve">€ bei </w:t>
            </w:r>
            <w:r w:rsidR="004270B3" w:rsidRPr="30241C16">
              <w:rPr>
                <w:rFonts w:ascii="Arial Narrow" w:hAnsi="Arial Narrow"/>
                <w:sz w:val="22"/>
                <w:szCs w:val="22"/>
              </w:rPr>
              <w:t>100mg Filmtabletten</w:t>
            </w:r>
            <w:r w:rsidR="00A27596" w:rsidRPr="30241C16">
              <w:rPr>
                <w:rFonts w:ascii="Arial Narrow" w:hAnsi="Arial Narrow"/>
                <w:sz w:val="22"/>
                <w:szCs w:val="22"/>
              </w:rPr>
              <w:t xml:space="preserve"> (60 St.)</w:t>
            </w:r>
            <w:r w:rsidRPr="30241C16">
              <w:rPr>
                <w:rFonts w:ascii="Arial Narrow" w:hAnsi="Arial Narrow"/>
                <w:sz w:val="22"/>
                <w:szCs w:val="22"/>
              </w:rPr>
              <w:t xml:space="preserve"> (</w:t>
            </w:r>
            <w:r w:rsidR="008412EF" w:rsidRPr="30241C16">
              <w:rPr>
                <w:rFonts w:ascii="Arial Narrow" w:hAnsi="Arial Narrow"/>
                <w:sz w:val="22"/>
                <w:szCs w:val="22"/>
              </w:rPr>
              <w:t xml:space="preserve">Dosierung </w:t>
            </w:r>
            <w:r w:rsidRPr="30241C16">
              <w:rPr>
                <w:rFonts w:ascii="Arial Narrow" w:hAnsi="Arial Narrow"/>
                <w:sz w:val="22"/>
                <w:szCs w:val="22"/>
              </w:rPr>
              <w:t>laut Rote Liste</w:t>
            </w:r>
            <w:r w:rsidR="008412EF" w:rsidRPr="30241C16">
              <w:rPr>
                <w:rFonts w:ascii="Arial Narrow" w:hAnsi="Arial Narrow"/>
                <w:sz w:val="22"/>
                <w:szCs w:val="22"/>
              </w:rPr>
              <w:t>, Preis laut Lauer-Taxe</w:t>
            </w:r>
            <w:r w:rsidRPr="30241C16">
              <w:rPr>
                <w:rFonts w:ascii="Arial Narrow" w:hAnsi="Arial Narrow"/>
                <w:sz w:val="22"/>
                <w:szCs w:val="22"/>
              </w:rPr>
              <w:t xml:space="preserve"> inkl. MWSt, Preis</w:t>
            </w:r>
            <w:r w:rsidR="00C50916" w:rsidRPr="30241C16">
              <w:rPr>
                <w:rFonts w:ascii="Arial Narrow" w:hAnsi="Arial Narrow"/>
                <w:sz w:val="22"/>
                <w:szCs w:val="22"/>
              </w:rPr>
              <w:t xml:space="preserve"> AVP,</w:t>
            </w:r>
            <w:r w:rsidRPr="30241C16">
              <w:rPr>
                <w:rFonts w:ascii="Arial Narrow" w:hAnsi="Arial Narrow"/>
                <w:sz w:val="22"/>
                <w:szCs w:val="22"/>
              </w:rPr>
              <w:t xml:space="preserve"> Stand </w:t>
            </w:r>
            <w:r w:rsidR="00BD2F6C" w:rsidRPr="30241C16">
              <w:rPr>
                <w:rFonts w:ascii="Arial Narrow" w:hAnsi="Arial Narrow"/>
                <w:sz w:val="22"/>
                <w:szCs w:val="22"/>
              </w:rPr>
              <w:t>11</w:t>
            </w:r>
            <w:r w:rsidRPr="30241C16">
              <w:rPr>
                <w:rFonts w:ascii="Arial Narrow" w:hAnsi="Arial Narrow"/>
                <w:sz w:val="22"/>
                <w:szCs w:val="22"/>
              </w:rPr>
              <w:t>.0</w:t>
            </w:r>
            <w:r w:rsidR="00BD2F6C" w:rsidRPr="30241C16">
              <w:rPr>
                <w:rFonts w:ascii="Arial Narrow" w:hAnsi="Arial Narrow"/>
                <w:sz w:val="22"/>
                <w:szCs w:val="22"/>
              </w:rPr>
              <w:t>8</w:t>
            </w:r>
            <w:r w:rsidRPr="30241C16">
              <w:rPr>
                <w:rFonts w:ascii="Arial Narrow" w:hAnsi="Arial Narrow"/>
                <w:sz w:val="22"/>
                <w:szCs w:val="22"/>
              </w:rPr>
              <w:t>.202</w:t>
            </w:r>
            <w:r w:rsidR="009F5818" w:rsidRPr="30241C16">
              <w:rPr>
                <w:rFonts w:ascii="Arial Narrow" w:hAnsi="Arial Narrow"/>
                <w:sz w:val="22"/>
                <w:szCs w:val="22"/>
              </w:rPr>
              <w:t>6</w:t>
            </w:r>
            <w:r w:rsidRPr="30241C16">
              <w:rPr>
                <w:rFonts w:ascii="Arial Narrow" w:hAnsi="Arial Narrow"/>
                <w:sz w:val="22"/>
                <w:szCs w:val="22"/>
              </w:rPr>
              <w:t>)</w:t>
            </w:r>
            <w:r w:rsidR="00A27596" w:rsidRPr="30241C16">
              <w:rPr>
                <w:rFonts w:ascii="Arial Narrow" w:hAnsi="Arial Narrow"/>
                <w:sz w:val="22"/>
                <w:szCs w:val="22"/>
              </w:rPr>
              <w:t xml:space="preserve">. </w:t>
            </w:r>
          </w:p>
          <w:p w14:paraId="04B28E34" w14:textId="61CCB371" w:rsidR="0078272D" w:rsidRPr="00073130" w:rsidRDefault="001774E7" w:rsidP="00A530BE">
            <w:pPr>
              <w:rPr>
                <w:rFonts w:ascii="Arial Narrow" w:hAnsi="Arial Narrow"/>
                <w:sz w:val="22"/>
              </w:rPr>
            </w:pPr>
            <w:r w:rsidRPr="00541B64">
              <w:rPr>
                <w:rFonts w:ascii="Arial Narrow" w:hAnsi="Arial Narrow"/>
                <w:sz w:val="22"/>
              </w:rPr>
              <w:t xml:space="preserve">Daraus ergeben sich Tagestherapiekosten von </w:t>
            </w:r>
            <w:r w:rsidR="00DA6B38">
              <w:rPr>
                <w:rFonts w:ascii="Arial Narrow" w:hAnsi="Arial Narrow"/>
                <w:sz w:val="22"/>
              </w:rPr>
              <w:t>206,0</w:t>
            </w:r>
            <w:r w:rsidR="00A10AC8">
              <w:rPr>
                <w:rFonts w:ascii="Arial Narrow" w:hAnsi="Arial Narrow"/>
                <w:sz w:val="22"/>
              </w:rPr>
              <w:t>6</w:t>
            </w:r>
            <w:r w:rsidRPr="00541B64">
              <w:rPr>
                <w:rFonts w:ascii="Arial Narrow" w:hAnsi="Arial Narrow"/>
                <w:sz w:val="22"/>
              </w:rPr>
              <w:t xml:space="preserve"> € oder </w:t>
            </w:r>
            <w:r w:rsidR="00DA6B38">
              <w:rPr>
                <w:rFonts w:ascii="Arial Narrow" w:hAnsi="Arial Narrow"/>
                <w:sz w:val="22"/>
              </w:rPr>
              <w:t>1442,</w:t>
            </w:r>
            <w:r w:rsidR="00F74613">
              <w:rPr>
                <w:rFonts w:ascii="Arial Narrow" w:hAnsi="Arial Narrow"/>
                <w:sz w:val="22"/>
              </w:rPr>
              <w:t>44</w:t>
            </w:r>
            <w:r w:rsidRPr="00541B64">
              <w:rPr>
                <w:rFonts w:ascii="Arial Narrow" w:hAnsi="Arial Narrow"/>
                <w:sz w:val="22"/>
              </w:rPr>
              <w:t xml:space="preserve"> € bei einer </w:t>
            </w:r>
            <w:r w:rsidR="00CB7E53">
              <w:rPr>
                <w:rFonts w:ascii="Arial Narrow" w:hAnsi="Arial Narrow"/>
                <w:sz w:val="22"/>
              </w:rPr>
              <w:t>angenommenen</w:t>
            </w:r>
            <w:r w:rsidRPr="00541B64">
              <w:rPr>
                <w:rFonts w:ascii="Arial Narrow" w:hAnsi="Arial Narrow"/>
                <w:sz w:val="22"/>
              </w:rPr>
              <w:t xml:space="preserve"> Verweildauer von 7 Tagen.</w:t>
            </w:r>
          </w:p>
          <w:p w14:paraId="66D8B4DA" w14:textId="77777777" w:rsidR="00A56FF0" w:rsidRDefault="00073130" w:rsidP="007A314E">
            <w:pPr>
              <w:rPr>
                <w:rFonts w:ascii="Arial Narrow" w:hAnsi="Arial Narrow"/>
                <w:sz w:val="22"/>
              </w:rPr>
            </w:pPr>
            <w:r w:rsidRPr="00073130">
              <w:rPr>
                <w:rFonts w:ascii="Arial Narrow" w:hAnsi="Arial Narrow"/>
                <w:sz w:val="22"/>
              </w:rPr>
              <w:t xml:space="preserve">Personalkosten: </w:t>
            </w:r>
          </w:p>
          <w:p w14:paraId="4662E407" w14:textId="77777777" w:rsidR="00C60495" w:rsidRDefault="00073130" w:rsidP="007A314E">
            <w:pPr>
              <w:rPr>
                <w:rFonts w:ascii="Arial Narrow" w:hAnsi="Arial Narrow"/>
                <w:sz w:val="22"/>
              </w:rPr>
            </w:pPr>
            <w:r w:rsidRPr="00073130">
              <w:rPr>
                <w:rFonts w:ascii="Arial Narrow" w:hAnsi="Arial Narrow"/>
                <w:sz w:val="22"/>
              </w:rPr>
              <w:t xml:space="preserve">Die Personalkosten bei oraler Gabe sind zu vernachlässigen. </w:t>
            </w:r>
          </w:p>
          <w:p w14:paraId="7D03D20B" w14:textId="64AFC69A" w:rsidR="00156FE0" w:rsidRPr="001774E7" w:rsidRDefault="00073130" w:rsidP="007A314E">
            <w:pPr>
              <w:rPr>
                <w:rFonts w:ascii="Arial Narrow" w:hAnsi="Arial Narrow"/>
                <w:color w:val="548DD4" w:themeColor="text2" w:themeTint="99"/>
              </w:rPr>
            </w:pPr>
            <w:r w:rsidRPr="00073130">
              <w:rPr>
                <w:rFonts w:ascii="Arial Narrow" w:hAnsi="Arial Narrow"/>
                <w:sz w:val="22"/>
              </w:rPr>
              <w:t>Da das Medikament eine orale Dauertherapie ist, geschieht es eher selten, dass ein Patient für diese orale Gabe stationär behandelt wird und somit in eine organspezifische DRG gruppiert wird. Es kommt sehr viel häufiger vor, dass der Patient wegen einer anderen Erkrankung aufgenommen wird und dieses Medikament als seine Dauermedikation weiter erhält. Die Kosten für dieses Medikament können daher in vielen DRGs vorkommen und sind möglicherweise auch nicht konkret dem Fall zugeordnet.</w:t>
            </w:r>
          </w:p>
        </w:tc>
      </w:tr>
    </w:tbl>
    <w:p w14:paraId="45E65153" w14:textId="77777777" w:rsidR="008E6675" w:rsidRPr="005638EB" w:rsidRDefault="008E6675" w:rsidP="005638EB">
      <w:pPr>
        <w:rPr>
          <w:rFonts w:ascii="Arial Narrow" w:hAnsi="Arial Narrow"/>
          <w:b/>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D84EF57" w14:textId="77777777" w:rsidTr="43C9621B">
        <w:tc>
          <w:tcPr>
            <w:tcW w:w="9212" w:type="dxa"/>
          </w:tcPr>
          <w:p w14:paraId="2FCAAE14" w14:textId="77777777" w:rsidR="008E6675" w:rsidRPr="005638EB" w:rsidRDefault="008E6675" w:rsidP="005638EB">
            <w:pPr>
              <w:rPr>
                <w:rFonts w:ascii="Arial Narrow" w:hAnsi="Arial Narrow"/>
              </w:rPr>
            </w:pPr>
            <w:r w:rsidRPr="008C1686">
              <w:rPr>
                <w:rFonts w:ascii="Arial Narrow" w:hAnsi="Arial Narrow"/>
                <w:b/>
                <w:sz w:val="22"/>
              </w:rPr>
              <w:t>Welche DRG(s) ist/sind am häufigsten von dieser Methode betroffen?</w:t>
            </w:r>
          </w:p>
        </w:tc>
      </w:tr>
      <w:tr w:rsidR="008E6675" w:rsidRPr="005638EB" w14:paraId="56F9F66E" w14:textId="77777777" w:rsidTr="43C9621B">
        <w:tc>
          <w:tcPr>
            <w:tcW w:w="9212" w:type="dxa"/>
          </w:tcPr>
          <w:p w14:paraId="11382269" w14:textId="502C37B7" w:rsidR="00976D8B" w:rsidRPr="003C1F81" w:rsidRDefault="34490EDD" w:rsidP="005638EB">
            <w:r w:rsidRPr="43C9621B">
              <w:rPr>
                <w:rFonts w:ascii="Arial Narrow" w:hAnsi="Arial Narrow"/>
                <w:sz w:val="22"/>
                <w:szCs w:val="22"/>
              </w:rPr>
              <w:t>R61H</w:t>
            </w:r>
          </w:p>
          <w:p w14:paraId="1BA07155" w14:textId="7D9E2CF2" w:rsidR="00976D8B" w:rsidRPr="003C1F81" w:rsidRDefault="34490EDD" w:rsidP="005638EB">
            <w:r w:rsidRPr="43C9621B">
              <w:rPr>
                <w:rFonts w:ascii="Arial Narrow" w:hAnsi="Arial Narrow"/>
                <w:sz w:val="22"/>
                <w:szCs w:val="22"/>
              </w:rPr>
              <w:t>R61D</w:t>
            </w:r>
          </w:p>
          <w:p w14:paraId="44672A5C" w14:textId="757B34AF" w:rsidR="00976D8B" w:rsidRPr="003C1F81" w:rsidRDefault="34490EDD" w:rsidP="43C9621B">
            <w:pPr>
              <w:rPr>
                <w:rFonts w:ascii="Arial Narrow" w:hAnsi="Arial Narrow"/>
                <w:sz w:val="22"/>
                <w:szCs w:val="22"/>
              </w:rPr>
            </w:pPr>
            <w:r w:rsidRPr="43C9621B">
              <w:rPr>
                <w:rFonts w:ascii="Arial Narrow" w:hAnsi="Arial Narrow"/>
                <w:sz w:val="22"/>
                <w:szCs w:val="22"/>
              </w:rPr>
              <w:t>R61E</w:t>
            </w:r>
          </w:p>
          <w:p w14:paraId="7688B9E0" w14:textId="77777777" w:rsidR="003C1F81" w:rsidRPr="003C1F81" w:rsidRDefault="003C1F81" w:rsidP="005638EB">
            <w:pPr>
              <w:rPr>
                <w:rFonts w:ascii="Arial Narrow" w:hAnsi="Arial Narrow"/>
                <w:sz w:val="22"/>
              </w:rPr>
            </w:pPr>
            <w:r w:rsidRPr="003C1F81">
              <w:rPr>
                <w:rFonts w:ascii="Arial Narrow" w:hAnsi="Arial Narrow"/>
                <w:sz w:val="22"/>
              </w:rPr>
              <w:t>E79C</w:t>
            </w:r>
          </w:p>
          <w:p w14:paraId="3FDE8751" w14:textId="3A9621DE" w:rsidR="003C1F81" w:rsidRPr="00A100DC" w:rsidRDefault="003C1F81" w:rsidP="005638EB">
            <w:pPr>
              <w:rPr>
                <w:rFonts w:ascii="Arial Narrow" w:hAnsi="Arial Narrow"/>
                <w:color w:val="00B050"/>
                <w:sz w:val="22"/>
              </w:rPr>
            </w:pPr>
            <w:r w:rsidRPr="003C1F81">
              <w:rPr>
                <w:rFonts w:ascii="Arial Narrow" w:hAnsi="Arial Narrow"/>
                <w:sz w:val="22"/>
              </w:rPr>
              <w:t>L63E</w:t>
            </w:r>
          </w:p>
        </w:tc>
      </w:tr>
    </w:tbl>
    <w:p w14:paraId="4E6FC927" w14:textId="77777777" w:rsidR="008E6675" w:rsidRPr="005638EB" w:rsidRDefault="008E6675" w:rsidP="005638EB">
      <w:pPr>
        <w:rPr>
          <w:rFonts w:ascii="Arial Narrow" w:hAnsi="Arial Narrow"/>
          <w:b/>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E9DF4AB" w14:textId="77777777" w:rsidTr="7C897CC0">
        <w:tc>
          <w:tcPr>
            <w:tcW w:w="9212" w:type="dxa"/>
          </w:tcPr>
          <w:p w14:paraId="3184CC4A" w14:textId="77777777" w:rsidR="008E6675" w:rsidRPr="005638EB" w:rsidRDefault="008E6675" w:rsidP="005638EB">
            <w:pPr>
              <w:rPr>
                <w:rFonts w:ascii="Arial Narrow" w:hAnsi="Arial Narrow"/>
              </w:rPr>
            </w:pPr>
            <w:r w:rsidRPr="008C1686">
              <w:rPr>
                <w:rFonts w:ascii="Arial Narrow" w:hAnsi="Arial Narrow"/>
                <w:b/>
                <w:sz w:val="22"/>
              </w:rPr>
              <w:lastRenderedPageBreak/>
              <w:t>Warum ist diese Methode aus Ihrer Sicht derzeit im G-DRG-System nicht sachgerecht abgebildet?</w:t>
            </w:r>
          </w:p>
        </w:tc>
      </w:tr>
      <w:tr w:rsidR="008E6675" w:rsidRPr="00ED4386" w14:paraId="3100E4A7" w14:textId="77777777" w:rsidTr="7C897CC0">
        <w:tc>
          <w:tcPr>
            <w:tcW w:w="9212" w:type="dxa"/>
          </w:tcPr>
          <w:p w14:paraId="32F858B1" w14:textId="19FF1217" w:rsidR="00CB3308" w:rsidRDefault="00CB3308" w:rsidP="008C1686">
            <w:pPr>
              <w:rPr>
                <w:rFonts w:ascii="Arial Narrow" w:hAnsi="Arial Narrow"/>
                <w:sz w:val="22"/>
              </w:rPr>
            </w:pPr>
            <w:r w:rsidRPr="00CB3308">
              <w:rPr>
                <w:rFonts w:ascii="Arial Narrow" w:hAnsi="Arial Narrow"/>
                <w:sz w:val="22"/>
              </w:rPr>
              <w:t xml:space="preserve">Acalabrutinib wurde im Jahr 2020 zugelassen und seitdem in Deutschland auf dem Markt. </w:t>
            </w:r>
          </w:p>
          <w:p w14:paraId="140D583A" w14:textId="201A7B49" w:rsidR="008E6675" w:rsidRPr="00ED4386" w:rsidRDefault="001774E7" w:rsidP="008C1686">
            <w:pPr>
              <w:rPr>
                <w:rFonts w:ascii="Arial Narrow" w:hAnsi="Arial Narrow"/>
                <w:sz w:val="22"/>
              </w:rPr>
            </w:pPr>
            <w:r w:rsidRPr="00ED4386">
              <w:rPr>
                <w:rFonts w:ascii="Arial Narrow" w:hAnsi="Arial Narrow"/>
                <w:sz w:val="22"/>
              </w:rPr>
              <w:t>Für das Datenjahr 202</w:t>
            </w:r>
            <w:r w:rsidR="001809A6">
              <w:rPr>
                <w:rFonts w:ascii="Arial Narrow" w:hAnsi="Arial Narrow"/>
                <w:sz w:val="22"/>
              </w:rPr>
              <w:t>5</w:t>
            </w:r>
            <w:r w:rsidR="008E6675" w:rsidRPr="00ED4386">
              <w:rPr>
                <w:rFonts w:ascii="Arial Narrow" w:hAnsi="Arial Narrow"/>
                <w:sz w:val="22"/>
              </w:rPr>
              <w:t xml:space="preserve"> sollten </w:t>
            </w:r>
            <w:r w:rsidR="004736E4">
              <w:rPr>
                <w:rFonts w:ascii="Arial Narrow" w:hAnsi="Arial Narrow"/>
                <w:sz w:val="22"/>
              </w:rPr>
              <w:t xml:space="preserve">daher </w:t>
            </w:r>
            <w:r w:rsidR="006549F4" w:rsidRPr="00ED4386">
              <w:rPr>
                <w:rFonts w:ascii="Arial Narrow" w:hAnsi="Arial Narrow"/>
                <w:sz w:val="22"/>
              </w:rPr>
              <w:t xml:space="preserve">aus den Kalkulationshäusern </w:t>
            </w:r>
            <w:r w:rsidR="008E6675" w:rsidRPr="00ED4386">
              <w:rPr>
                <w:rFonts w:ascii="Arial Narrow" w:hAnsi="Arial Narrow"/>
                <w:sz w:val="22"/>
              </w:rPr>
              <w:t xml:space="preserve">Kostendaten für den Einsatz vorliegen. </w:t>
            </w:r>
          </w:p>
          <w:p w14:paraId="5EFE7220" w14:textId="3C10DA30" w:rsidR="008E6675" w:rsidRPr="00ED4386" w:rsidRDefault="008E6675" w:rsidP="008C1686">
            <w:pPr>
              <w:rPr>
                <w:rFonts w:ascii="Arial Narrow" w:hAnsi="Arial Narrow"/>
                <w:sz w:val="22"/>
              </w:rPr>
            </w:pPr>
            <w:r w:rsidRPr="00ED4386">
              <w:rPr>
                <w:rFonts w:ascii="Arial Narrow" w:hAnsi="Arial Narrow"/>
                <w:sz w:val="22"/>
              </w:rPr>
              <w:t>Wir vermuten, dass di</w:t>
            </w:r>
            <w:r w:rsidR="00A100DC" w:rsidRPr="00ED4386">
              <w:rPr>
                <w:rFonts w:ascii="Arial Narrow" w:hAnsi="Arial Narrow"/>
                <w:sz w:val="22"/>
              </w:rPr>
              <w:t>e Stichprobe jedoch zu klein war</w:t>
            </w:r>
            <w:r w:rsidRPr="00ED4386">
              <w:rPr>
                <w:rFonts w:ascii="Arial Narrow" w:hAnsi="Arial Narrow"/>
                <w:sz w:val="22"/>
              </w:rPr>
              <w:t>, als dass genügend Kosten- und Leistungsinformationen aus den Krankenhäusern vorliegen, um damit eine sachgerechte Abbildung im G-DRG System 20</w:t>
            </w:r>
            <w:r w:rsidR="001774E7" w:rsidRPr="00ED4386">
              <w:rPr>
                <w:rFonts w:ascii="Arial Narrow" w:hAnsi="Arial Narrow"/>
                <w:sz w:val="22"/>
              </w:rPr>
              <w:t>2</w:t>
            </w:r>
            <w:r w:rsidR="00BB6117">
              <w:rPr>
                <w:rFonts w:ascii="Arial Narrow" w:hAnsi="Arial Narrow"/>
                <w:sz w:val="22"/>
              </w:rPr>
              <w:t>7</w:t>
            </w:r>
            <w:r w:rsidRPr="00ED4386">
              <w:rPr>
                <w:rFonts w:ascii="Arial Narrow" w:hAnsi="Arial Narrow"/>
                <w:sz w:val="22"/>
              </w:rPr>
              <w:t xml:space="preserve"> zu ermöglichen.</w:t>
            </w:r>
          </w:p>
          <w:p w14:paraId="222643B9" w14:textId="65C92191" w:rsidR="008E6675" w:rsidRPr="00ED4386" w:rsidRDefault="008E6675" w:rsidP="7C897CC0">
            <w:pPr>
              <w:rPr>
                <w:rFonts w:ascii="Arial Narrow" w:hAnsi="Arial Narrow"/>
                <w:sz w:val="22"/>
                <w:szCs w:val="22"/>
              </w:rPr>
            </w:pPr>
            <w:r w:rsidRPr="7C897CC0">
              <w:rPr>
                <w:rFonts w:ascii="Arial Narrow" w:hAnsi="Arial Narrow"/>
                <w:sz w:val="22"/>
                <w:szCs w:val="22"/>
              </w:rPr>
              <w:t xml:space="preserve">Die zusätzlichen Kosten von ca. </w:t>
            </w:r>
            <w:r w:rsidR="00103476" w:rsidRPr="7C897CC0">
              <w:rPr>
                <w:rFonts w:ascii="Arial Narrow" w:hAnsi="Arial Narrow"/>
                <w:sz w:val="22"/>
                <w:szCs w:val="22"/>
              </w:rPr>
              <w:t xml:space="preserve">1442,44 € </w:t>
            </w:r>
            <w:r w:rsidRPr="7C897CC0">
              <w:rPr>
                <w:rFonts w:ascii="Arial Narrow" w:hAnsi="Arial Narrow"/>
                <w:sz w:val="22"/>
                <w:szCs w:val="22"/>
              </w:rPr>
              <w:t>pro</w:t>
            </w:r>
            <w:r w:rsidR="00103476" w:rsidRPr="7C897CC0">
              <w:rPr>
                <w:rFonts w:ascii="Arial Narrow" w:hAnsi="Arial Narrow"/>
                <w:sz w:val="22"/>
                <w:szCs w:val="22"/>
              </w:rPr>
              <w:t xml:space="preserve"> </w:t>
            </w:r>
            <w:r w:rsidR="001774E7" w:rsidRPr="7C897CC0">
              <w:rPr>
                <w:rFonts w:ascii="Arial Narrow" w:hAnsi="Arial Narrow"/>
                <w:sz w:val="22"/>
                <w:szCs w:val="22"/>
              </w:rPr>
              <w:t>Aufenthalt</w:t>
            </w:r>
            <w:r w:rsidRPr="7C897CC0">
              <w:rPr>
                <w:rFonts w:ascii="Arial Narrow" w:hAnsi="Arial Narrow"/>
                <w:sz w:val="22"/>
                <w:szCs w:val="22"/>
              </w:rPr>
              <w:t xml:space="preserve"> können aber mit der</w:t>
            </w:r>
            <w:r w:rsidR="00A100DC" w:rsidRPr="7C897CC0">
              <w:rPr>
                <w:rFonts w:ascii="Arial Narrow" w:hAnsi="Arial Narrow"/>
                <w:sz w:val="22"/>
                <w:szCs w:val="22"/>
              </w:rPr>
              <w:t>/den o.g.</w:t>
            </w:r>
            <w:r w:rsidRPr="7C897CC0">
              <w:rPr>
                <w:rFonts w:ascii="Arial Narrow" w:hAnsi="Arial Narrow"/>
                <w:sz w:val="22"/>
                <w:szCs w:val="22"/>
              </w:rPr>
              <w:t xml:space="preserve"> Fallpauschale</w:t>
            </w:r>
            <w:r w:rsidR="00A100DC" w:rsidRPr="7C897CC0">
              <w:rPr>
                <w:rFonts w:ascii="Arial Narrow" w:hAnsi="Arial Narrow"/>
                <w:sz w:val="22"/>
                <w:szCs w:val="22"/>
              </w:rPr>
              <w:t>(n)</w:t>
            </w:r>
            <w:r w:rsidRPr="7C897CC0">
              <w:rPr>
                <w:rFonts w:ascii="Arial Narrow" w:hAnsi="Arial Narrow"/>
                <w:sz w:val="22"/>
                <w:szCs w:val="22"/>
              </w:rPr>
              <w:t xml:space="preserve"> allein nicht ausreichend abgebildet werden und </w:t>
            </w:r>
            <w:r w:rsidR="00664414" w:rsidRPr="7C897CC0">
              <w:rPr>
                <w:rFonts w:ascii="Arial Narrow" w:hAnsi="Arial Narrow"/>
                <w:sz w:val="22"/>
                <w:szCs w:val="22"/>
              </w:rPr>
              <w:t xml:space="preserve">Acalabrutinib ist bisher </w:t>
            </w:r>
            <w:r w:rsidR="013A430A" w:rsidRPr="7C897CC0">
              <w:rPr>
                <w:rFonts w:ascii="Arial Narrow" w:hAnsi="Arial Narrow"/>
                <w:sz w:val="22"/>
                <w:szCs w:val="22"/>
              </w:rPr>
              <w:t xml:space="preserve">als Zusatzentgelt </w:t>
            </w:r>
            <w:r w:rsidR="00664414" w:rsidRPr="7C897CC0">
              <w:rPr>
                <w:rFonts w:ascii="Arial Narrow" w:hAnsi="Arial Narrow"/>
                <w:sz w:val="22"/>
                <w:szCs w:val="22"/>
              </w:rPr>
              <w:t xml:space="preserve">im </w:t>
            </w:r>
            <w:r w:rsidR="00F359E0" w:rsidRPr="7C897CC0">
              <w:rPr>
                <w:rFonts w:ascii="Arial Narrow" w:hAnsi="Arial Narrow"/>
                <w:sz w:val="22"/>
                <w:szCs w:val="22"/>
              </w:rPr>
              <w:t>Fallpauschalenkatalog</w:t>
            </w:r>
            <w:r w:rsidR="00664414" w:rsidRPr="7C897CC0">
              <w:rPr>
                <w:rFonts w:ascii="Arial Narrow" w:hAnsi="Arial Narrow"/>
                <w:sz w:val="22"/>
                <w:szCs w:val="22"/>
              </w:rPr>
              <w:t xml:space="preserve"> nicht enthalten. Aufgrund der hohen Kosten des Medikaments kommt es zu einer Unterfinanzierung in der/den betroffenen DRG.</w:t>
            </w:r>
          </w:p>
        </w:tc>
      </w:tr>
    </w:tbl>
    <w:p w14:paraId="0A50A959" w14:textId="07E3820D" w:rsidR="008E6675" w:rsidRPr="005638EB" w:rsidRDefault="008E6675" w:rsidP="005638EB">
      <w:pPr>
        <w:rPr>
          <w:rFonts w:ascii="Arial Narrow" w:hAnsi="Arial Narrow"/>
        </w:rPr>
      </w:pPr>
    </w:p>
    <w:sectPr w:rsidR="008E6675" w:rsidRPr="005638EB" w:rsidSect="004E1D02">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A977D" w14:textId="77777777" w:rsidR="00784DE3" w:rsidRDefault="00784DE3">
      <w:r>
        <w:separator/>
      </w:r>
    </w:p>
  </w:endnote>
  <w:endnote w:type="continuationSeparator" w:id="0">
    <w:p w14:paraId="4056078A" w14:textId="77777777" w:rsidR="00784DE3" w:rsidRDefault="00784DE3">
      <w:r>
        <w:continuationSeparator/>
      </w:r>
    </w:p>
  </w:endnote>
  <w:endnote w:type="continuationNotice" w:id="1">
    <w:p w14:paraId="31543E4B" w14:textId="77777777" w:rsidR="00784DE3" w:rsidRDefault="00784D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Narrow">
    <w:altName w:val="Arial"/>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6D3D" w14:textId="6F8D2F29" w:rsidR="00E7291C" w:rsidRPr="00435583" w:rsidRDefault="00E7291C" w:rsidP="00435583">
    <w:pPr>
      <w:rPr>
        <w:rFonts w:ascii="Arial Narrow" w:hAnsi="Arial Narrow"/>
        <w:sz w:val="20"/>
        <w:szCs w:val="20"/>
      </w:rPr>
    </w:pPr>
    <w:r w:rsidRPr="00435583">
      <w:rPr>
        <w:rFonts w:ascii="Arial Narrow" w:hAnsi="Arial Narrow"/>
        <w:sz w:val="20"/>
        <w:szCs w:val="20"/>
      </w:rPr>
      <w:t>NUB-Musteranfrage</w:t>
    </w:r>
    <w:r>
      <w:rPr>
        <w:rFonts w:ascii="Arial Narrow" w:hAnsi="Arial Narrow"/>
        <w:sz w:val="20"/>
        <w:szCs w:val="20"/>
      </w:rPr>
      <w:t xml:space="preserve"> </w:t>
    </w:r>
    <w:r w:rsidRPr="000C0E29">
      <w:rPr>
        <w:rFonts w:ascii="Arial Narrow" w:hAnsi="Arial Narrow"/>
        <w:sz w:val="20"/>
        <w:szCs w:val="20"/>
      </w:rPr>
      <w:t>Acalabrutinib</w:t>
    </w:r>
  </w:p>
  <w:p w14:paraId="10903F30" w14:textId="0BF4F3C6" w:rsidR="00CE24DC" w:rsidRPr="00CE24DC" w:rsidRDefault="00CE24DC" w:rsidP="00435583">
    <w:pPr>
      <w:rPr>
        <w:rFonts w:ascii="Arial Narrow" w:hAnsi="Arial Narrow"/>
        <w:sz w:val="20"/>
        <w:szCs w:val="20"/>
      </w:rPr>
    </w:pPr>
    <w:r>
      <w:rPr>
        <w:rFonts w:ascii="Arial Narrow" w:hAnsi="Arial Narrow"/>
        <w:sz w:val="20"/>
        <w:szCs w:val="20"/>
      </w:rPr>
      <w:t xml:space="preserve">AstraZeneca </w:t>
    </w:r>
    <w:r w:rsidR="0096098C">
      <w:rPr>
        <w:rFonts w:ascii="Arial Narrow" w:hAnsi="Arial Narrow"/>
        <w:sz w:val="20"/>
        <w:szCs w:val="20"/>
      </w:rPr>
      <w:t xml:space="preserve">Freigabenummer: </w:t>
    </w:r>
    <w:r w:rsidRPr="00CE24DC">
      <w:rPr>
        <w:rFonts w:ascii="Arial Narrow" w:hAnsi="Arial Narrow"/>
        <w:sz w:val="20"/>
        <w:szCs w:val="20"/>
      </w:rPr>
      <w:t>DE-98684/26</w:t>
    </w:r>
  </w:p>
  <w:p w14:paraId="463B5D71" w14:textId="1E392013" w:rsidR="00E7291C" w:rsidRPr="005F5DF9" w:rsidRDefault="00E7291C" w:rsidP="00435583">
    <w:pPr>
      <w:rPr>
        <w:rFonts w:ascii="Arial Narrow" w:hAnsi="Arial Narrow"/>
        <w:sz w:val="20"/>
        <w:szCs w:val="20"/>
      </w:rPr>
    </w:pPr>
    <w:r w:rsidRPr="005F5DF9">
      <w:rPr>
        <w:rFonts w:ascii="Arial Narrow" w:hAnsi="Arial Narrow"/>
        <w:sz w:val="20"/>
        <w:szCs w:val="20"/>
      </w:rPr>
      <w:t xml:space="preserve">Seite </w:t>
    </w:r>
    <w:r w:rsidRPr="005F5DF9">
      <w:rPr>
        <w:rFonts w:ascii="Arial Narrow" w:hAnsi="Arial Narrow"/>
        <w:sz w:val="20"/>
        <w:szCs w:val="20"/>
      </w:rPr>
      <w:fldChar w:fldCharType="begin"/>
    </w:r>
    <w:r w:rsidRPr="005F5DF9">
      <w:rPr>
        <w:rFonts w:ascii="Arial Narrow" w:hAnsi="Arial Narrow"/>
        <w:sz w:val="20"/>
        <w:szCs w:val="20"/>
      </w:rPr>
      <w:instrText>PAGE  \* Arabic  \* MERGEFORMAT</w:instrText>
    </w:r>
    <w:r w:rsidRPr="005F5DF9">
      <w:rPr>
        <w:rFonts w:ascii="Arial Narrow" w:hAnsi="Arial Narrow"/>
        <w:sz w:val="20"/>
        <w:szCs w:val="20"/>
      </w:rPr>
      <w:fldChar w:fldCharType="separate"/>
    </w:r>
    <w:r w:rsidRPr="005F5DF9">
      <w:rPr>
        <w:rFonts w:ascii="Arial Narrow" w:hAnsi="Arial Narrow"/>
        <w:sz w:val="20"/>
        <w:szCs w:val="20"/>
      </w:rPr>
      <w:t>1</w:t>
    </w:r>
    <w:r w:rsidRPr="005F5DF9">
      <w:rPr>
        <w:rFonts w:ascii="Arial Narrow" w:hAnsi="Arial Narrow"/>
        <w:sz w:val="20"/>
        <w:szCs w:val="20"/>
      </w:rPr>
      <w:fldChar w:fldCharType="end"/>
    </w:r>
    <w:r w:rsidRPr="005F5DF9">
      <w:rPr>
        <w:rFonts w:ascii="Arial Narrow" w:hAnsi="Arial Narrow"/>
        <w:sz w:val="20"/>
        <w:szCs w:val="20"/>
      </w:rPr>
      <w:t xml:space="preserve"> von </w:t>
    </w:r>
    <w:r w:rsidRPr="005F5DF9">
      <w:rPr>
        <w:rFonts w:ascii="Arial Narrow" w:hAnsi="Arial Narrow"/>
        <w:sz w:val="20"/>
        <w:szCs w:val="20"/>
      </w:rPr>
      <w:fldChar w:fldCharType="begin"/>
    </w:r>
    <w:r w:rsidRPr="005F5DF9">
      <w:rPr>
        <w:rFonts w:ascii="Arial Narrow" w:hAnsi="Arial Narrow"/>
        <w:sz w:val="20"/>
        <w:szCs w:val="20"/>
      </w:rPr>
      <w:instrText>NUMPAGES  \* Arabic  \* MERGEFORMAT</w:instrText>
    </w:r>
    <w:r w:rsidRPr="005F5DF9">
      <w:rPr>
        <w:rFonts w:ascii="Arial Narrow" w:hAnsi="Arial Narrow"/>
        <w:sz w:val="20"/>
        <w:szCs w:val="20"/>
      </w:rPr>
      <w:fldChar w:fldCharType="separate"/>
    </w:r>
    <w:r w:rsidRPr="005F5DF9">
      <w:rPr>
        <w:rFonts w:ascii="Arial Narrow" w:hAnsi="Arial Narrow"/>
        <w:sz w:val="20"/>
        <w:szCs w:val="20"/>
      </w:rPr>
      <w:t>2</w:t>
    </w:r>
    <w:r w:rsidRPr="005F5DF9">
      <w:rPr>
        <w:rFonts w:ascii="Arial Narrow" w:hAnsi="Arial Narrow"/>
        <w:sz w:val="20"/>
        <w:szCs w:val="20"/>
      </w:rPr>
      <w:fldChar w:fldCharType="end"/>
    </w:r>
  </w:p>
  <w:p w14:paraId="6E7C81DA" w14:textId="4F38AB46" w:rsidR="00E7291C" w:rsidRPr="00A331A3" w:rsidRDefault="009D4A25" w:rsidP="00A331A3">
    <w:pPr>
      <w:spacing w:line="259" w:lineRule="auto"/>
      <w:rPr>
        <w:rFonts w:ascii="Arial Narrow" w:hAnsi="Arial Narrow"/>
        <w:sz w:val="20"/>
        <w:szCs w:val="20"/>
        <w:lang w:val="en-US"/>
      </w:rPr>
    </w:pPr>
    <w:r w:rsidRPr="00CE24DC">
      <w:rPr>
        <w:rFonts w:ascii="Arial Narrow" w:hAnsi="Arial Narrow"/>
        <w:sz w:val="20"/>
        <w:szCs w:val="20"/>
      </w:rPr>
      <w:tab/>
    </w:r>
    <w:r w:rsidRPr="00CE24DC">
      <w:rPr>
        <w:rFonts w:ascii="Arial Narrow" w:hAnsi="Arial Narrow"/>
        <w:sz w:val="20"/>
        <w:szCs w:val="20"/>
      </w:rPr>
      <w:tab/>
    </w:r>
    <w:r w:rsidRPr="00CE24DC">
      <w:rPr>
        <w:rFonts w:ascii="Arial Narrow" w:hAnsi="Arial Narrow"/>
        <w:sz w:val="20"/>
        <w:szCs w:val="20"/>
      </w:rPr>
      <w:tab/>
    </w:r>
    <w:r w:rsidRPr="00CE24DC">
      <w:rPr>
        <w:rFonts w:ascii="Arial Narrow" w:hAnsi="Arial Narrow"/>
        <w:sz w:val="20"/>
        <w:szCs w:val="20"/>
      </w:rPr>
      <w:tab/>
    </w:r>
    <w:r w:rsidRPr="00CE24DC">
      <w:rPr>
        <w:rFonts w:ascii="Arial Narrow" w:hAnsi="Arial Narrow"/>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A0136" w14:textId="77777777" w:rsidR="00784DE3" w:rsidRDefault="00784DE3">
      <w:r>
        <w:separator/>
      </w:r>
    </w:p>
  </w:footnote>
  <w:footnote w:type="continuationSeparator" w:id="0">
    <w:p w14:paraId="427986BC" w14:textId="77777777" w:rsidR="00784DE3" w:rsidRDefault="00784DE3">
      <w:r>
        <w:continuationSeparator/>
      </w:r>
    </w:p>
  </w:footnote>
  <w:footnote w:type="continuationNotice" w:id="1">
    <w:p w14:paraId="740D0AAF" w14:textId="77777777" w:rsidR="00784DE3" w:rsidRDefault="00784D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8799" w14:textId="47B15C65" w:rsidR="00E7291C" w:rsidRPr="004C4F82" w:rsidRDefault="00E7291C" w:rsidP="00596F9A">
    <w:pPr>
      <w:rPr>
        <w:sz w:val="48"/>
      </w:rPr>
    </w:pPr>
    <w:r w:rsidRPr="004C4F82">
      <w:rPr>
        <w:sz w:val="48"/>
      </w:rPr>
      <w:t>NUB Antrag 20</w:t>
    </w:r>
    <w:r>
      <w:rPr>
        <w:sz w:val="48"/>
      </w:rPr>
      <w:t>26</w:t>
    </w:r>
    <w:r w:rsidRPr="004C4F82">
      <w:rPr>
        <w:sz w:val="48"/>
      </w:rPr>
      <w:t>/20</w:t>
    </w:r>
    <w:r>
      <w:rPr>
        <w:sz w:val="48"/>
      </w:rPr>
      <w:t>27</w:t>
    </w:r>
  </w:p>
  <w:p w14:paraId="2D6FE634" w14:textId="1CC59307" w:rsidR="00E7291C" w:rsidRPr="004C4F82" w:rsidRDefault="00E7291C" w:rsidP="00596F9A">
    <w:pPr>
      <w:rPr>
        <w:sz w:val="48"/>
      </w:rPr>
    </w:pPr>
    <w:r>
      <w:rPr>
        <w:sz w:val="48"/>
      </w:rPr>
      <w:t>Acalabrutinib</w:t>
    </w:r>
  </w:p>
  <w:p w14:paraId="38DF28C4" w14:textId="77777777" w:rsidR="00E7291C" w:rsidRDefault="00E729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E2F"/>
    <w:multiLevelType w:val="hybridMultilevel"/>
    <w:tmpl w:val="1C404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1B2B83"/>
    <w:multiLevelType w:val="multilevel"/>
    <w:tmpl w:val="1D4663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5C1CCB"/>
    <w:multiLevelType w:val="multilevel"/>
    <w:tmpl w:val="7D024176"/>
    <w:lvl w:ilvl="0">
      <w:start w:val="1"/>
      <w:numFmt w:val="decimal"/>
      <w:lvlText w:val="%1"/>
      <w:lvlJc w:val="left"/>
      <w:pPr>
        <w:tabs>
          <w:tab w:val="num" w:pos="360"/>
        </w:tabs>
        <w:ind w:left="360" w:hanging="360"/>
      </w:pPr>
      <w:rPr>
        <w:rFonts w:cs="Times New Roman" w:hint="default"/>
        <w:b w:val="0"/>
      </w:rPr>
    </w:lvl>
    <w:lvl w:ilvl="1">
      <w:start w:val="4"/>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 w15:restartNumberingAfterBreak="0">
    <w:nsid w:val="0F8C1304"/>
    <w:multiLevelType w:val="hybridMultilevel"/>
    <w:tmpl w:val="49187E7A"/>
    <w:lvl w:ilvl="0" w:tplc="F4DC3A5A">
      <w:start w:val="1"/>
      <w:numFmt w:val="bullet"/>
      <w:lvlText w:val=""/>
      <w:lvlJc w:val="left"/>
      <w:pPr>
        <w:tabs>
          <w:tab w:val="num" w:pos="720"/>
        </w:tabs>
        <w:ind w:left="720" w:hanging="360"/>
      </w:pPr>
      <w:rPr>
        <w:rFonts w:ascii="Symbol" w:hAnsi="Symbol" w:hint="default"/>
        <w:sz w:val="20"/>
      </w:rPr>
    </w:lvl>
    <w:lvl w:ilvl="1" w:tplc="22CA003C" w:tentative="1">
      <w:start w:val="1"/>
      <w:numFmt w:val="bullet"/>
      <w:lvlText w:val="o"/>
      <w:lvlJc w:val="left"/>
      <w:pPr>
        <w:tabs>
          <w:tab w:val="num" w:pos="1440"/>
        </w:tabs>
        <w:ind w:left="1440" w:hanging="360"/>
      </w:pPr>
      <w:rPr>
        <w:rFonts w:ascii="Courier New" w:hAnsi="Courier New" w:hint="default"/>
        <w:sz w:val="20"/>
      </w:rPr>
    </w:lvl>
    <w:lvl w:ilvl="2" w:tplc="69B6E4CA" w:tentative="1">
      <w:start w:val="1"/>
      <w:numFmt w:val="bullet"/>
      <w:lvlText w:val=""/>
      <w:lvlJc w:val="left"/>
      <w:pPr>
        <w:tabs>
          <w:tab w:val="num" w:pos="2160"/>
        </w:tabs>
        <w:ind w:left="2160" w:hanging="360"/>
      </w:pPr>
      <w:rPr>
        <w:rFonts w:ascii="Wingdings" w:hAnsi="Wingdings" w:hint="default"/>
        <w:sz w:val="20"/>
      </w:rPr>
    </w:lvl>
    <w:lvl w:ilvl="3" w:tplc="D0E6B0AC" w:tentative="1">
      <w:start w:val="1"/>
      <w:numFmt w:val="bullet"/>
      <w:lvlText w:val=""/>
      <w:lvlJc w:val="left"/>
      <w:pPr>
        <w:tabs>
          <w:tab w:val="num" w:pos="2880"/>
        </w:tabs>
        <w:ind w:left="2880" w:hanging="360"/>
      </w:pPr>
      <w:rPr>
        <w:rFonts w:ascii="Wingdings" w:hAnsi="Wingdings" w:hint="default"/>
        <w:sz w:val="20"/>
      </w:rPr>
    </w:lvl>
    <w:lvl w:ilvl="4" w:tplc="32A8AE62" w:tentative="1">
      <w:start w:val="1"/>
      <w:numFmt w:val="bullet"/>
      <w:lvlText w:val=""/>
      <w:lvlJc w:val="left"/>
      <w:pPr>
        <w:tabs>
          <w:tab w:val="num" w:pos="3600"/>
        </w:tabs>
        <w:ind w:left="3600" w:hanging="360"/>
      </w:pPr>
      <w:rPr>
        <w:rFonts w:ascii="Wingdings" w:hAnsi="Wingdings" w:hint="default"/>
        <w:sz w:val="20"/>
      </w:rPr>
    </w:lvl>
    <w:lvl w:ilvl="5" w:tplc="91AC12EA" w:tentative="1">
      <w:start w:val="1"/>
      <w:numFmt w:val="bullet"/>
      <w:lvlText w:val=""/>
      <w:lvlJc w:val="left"/>
      <w:pPr>
        <w:tabs>
          <w:tab w:val="num" w:pos="4320"/>
        </w:tabs>
        <w:ind w:left="4320" w:hanging="360"/>
      </w:pPr>
      <w:rPr>
        <w:rFonts w:ascii="Wingdings" w:hAnsi="Wingdings" w:hint="default"/>
        <w:sz w:val="20"/>
      </w:rPr>
    </w:lvl>
    <w:lvl w:ilvl="6" w:tplc="FE4C643A" w:tentative="1">
      <w:start w:val="1"/>
      <w:numFmt w:val="bullet"/>
      <w:lvlText w:val=""/>
      <w:lvlJc w:val="left"/>
      <w:pPr>
        <w:tabs>
          <w:tab w:val="num" w:pos="5040"/>
        </w:tabs>
        <w:ind w:left="5040" w:hanging="360"/>
      </w:pPr>
      <w:rPr>
        <w:rFonts w:ascii="Wingdings" w:hAnsi="Wingdings" w:hint="default"/>
        <w:sz w:val="20"/>
      </w:rPr>
    </w:lvl>
    <w:lvl w:ilvl="7" w:tplc="8F8C7AD6" w:tentative="1">
      <w:start w:val="1"/>
      <w:numFmt w:val="bullet"/>
      <w:lvlText w:val=""/>
      <w:lvlJc w:val="left"/>
      <w:pPr>
        <w:tabs>
          <w:tab w:val="num" w:pos="5760"/>
        </w:tabs>
        <w:ind w:left="5760" w:hanging="360"/>
      </w:pPr>
      <w:rPr>
        <w:rFonts w:ascii="Wingdings" w:hAnsi="Wingdings" w:hint="default"/>
        <w:sz w:val="20"/>
      </w:rPr>
    </w:lvl>
    <w:lvl w:ilvl="8" w:tplc="F2C29F7C"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81313"/>
    <w:multiLevelType w:val="hybridMultilevel"/>
    <w:tmpl w:val="7F4E33F6"/>
    <w:lvl w:ilvl="0" w:tplc="9AEE24C8">
      <w:start w:val="1"/>
      <w:numFmt w:val="decimal"/>
      <w:lvlText w:val="(%1)"/>
      <w:lvlJc w:val="left"/>
      <w:pPr>
        <w:tabs>
          <w:tab w:val="num" w:pos="1080"/>
        </w:tabs>
        <w:ind w:left="1080" w:hanging="720"/>
      </w:pPr>
      <w:rPr>
        <w:rFonts w:ascii="Arial" w:hAnsi="Arial" w:cs="Arial" w:hint="default"/>
        <w:sz w:val="22"/>
      </w:rPr>
    </w:lvl>
    <w:lvl w:ilvl="1" w:tplc="81F03F5E" w:tentative="1">
      <w:start w:val="1"/>
      <w:numFmt w:val="lowerLetter"/>
      <w:lvlText w:val="%2."/>
      <w:lvlJc w:val="left"/>
      <w:pPr>
        <w:tabs>
          <w:tab w:val="num" w:pos="1440"/>
        </w:tabs>
        <w:ind w:left="1440" w:hanging="360"/>
      </w:pPr>
      <w:rPr>
        <w:rFonts w:cs="Times New Roman"/>
      </w:rPr>
    </w:lvl>
    <w:lvl w:ilvl="2" w:tplc="45DC5758" w:tentative="1">
      <w:start w:val="1"/>
      <w:numFmt w:val="lowerRoman"/>
      <w:lvlText w:val="%3."/>
      <w:lvlJc w:val="right"/>
      <w:pPr>
        <w:tabs>
          <w:tab w:val="num" w:pos="2160"/>
        </w:tabs>
        <w:ind w:left="2160" w:hanging="180"/>
      </w:pPr>
      <w:rPr>
        <w:rFonts w:cs="Times New Roman"/>
      </w:rPr>
    </w:lvl>
    <w:lvl w:ilvl="3" w:tplc="3D508AE6" w:tentative="1">
      <w:start w:val="1"/>
      <w:numFmt w:val="decimal"/>
      <w:lvlText w:val="%4."/>
      <w:lvlJc w:val="left"/>
      <w:pPr>
        <w:tabs>
          <w:tab w:val="num" w:pos="2880"/>
        </w:tabs>
        <w:ind w:left="2880" w:hanging="360"/>
      </w:pPr>
      <w:rPr>
        <w:rFonts w:cs="Times New Roman"/>
      </w:rPr>
    </w:lvl>
    <w:lvl w:ilvl="4" w:tplc="1598B24E" w:tentative="1">
      <w:start w:val="1"/>
      <w:numFmt w:val="lowerLetter"/>
      <w:lvlText w:val="%5."/>
      <w:lvlJc w:val="left"/>
      <w:pPr>
        <w:tabs>
          <w:tab w:val="num" w:pos="3600"/>
        </w:tabs>
        <w:ind w:left="3600" w:hanging="360"/>
      </w:pPr>
      <w:rPr>
        <w:rFonts w:cs="Times New Roman"/>
      </w:rPr>
    </w:lvl>
    <w:lvl w:ilvl="5" w:tplc="F468C790" w:tentative="1">
      <w:start w:val="1"/>
      <w:numFmt w:val="lowerRoman"/>
      <w:lvlText w:val="%6."/>
      <w:lvlJc w:val="right"/>
      <w:pPr>
        <w:tabs>
          <w:tab w:val="num" w:pos="4320"/>
        </w:tabs>
        <w:ind w:left="4320" w:hanging="180"/>
      </w:pPr>
      <w:rPr>
        <w:rFonts w:cs="Times New Roman"/>
      </w:rPr>
    </w:lvl>
    <w:lvl w:ilvl="6" w:tplc="531E2918" w:tentative="1">
      <w:start w:val="1"/>
      <w:numFmt w:val="decimal"/>
      <w:lvlText w:val="%7."/>
      <w:lvlJc w:val="left"/>
      <w:pPr>
        <w:tabs>
          <w:tab w:val="num" w:pos="5040"/>
        </w:tabs>
        <w:ind w:left="5040" w:hanging="360"/>
      </w:pPr>
      <w:rPr>
        <w:rFonts w:cs="Times New Roman"/>
      </w:rPr>
    </w:lvl>
    <w:lvl w:ilvl="7" w:tplc="D7AEEF1C" w:tentative="1">
      <w:start w:val="1"/>
      <w:numFmt w:val="lowerLetter"/>
      <w:lvlText w:val="%8."/>
      <w:lvlJc w:val="left"/>
      <w:pPr>
        <w:tabs>
          <w:tab w:val="num" w:pos="5760"/>
        </w:tabs>
        <w:ind w:left="5760" w:hanging="360"/>
      </w:pPr>
      <w:rPr>
        <w:rFonts w:cs="Times New Roman"/>
      </w:rPr>
    </w:lvl>
    <w:lvl w:ilvl="8" w:tplc="A85C5452" w:tentative="1">
      <w:start w:val="1"/>
      <w:numFmt w:val="lowerRoman"/>
      <w:lvlText w:val="%9."/>
      <w:lvlJc w:val="right"/>
      <w:pPr>
        <w:tabs>
          <w:tab w:val="num" w:pos="6480"/>
        </w:tabs>
        <w:ind w:left="6480" w:hanging="180"/>
      </w:pPr>
      <w:rPr>
        <w:rFonts w:cs="Times New Roman"/>
      </w:rPr>
    </w:lvl>
  </w:abstractNum>
  <w:abstractNum w:abstractNumId="5" w15:restartNumberingAfterBreak="0">
    <w:nsid w:val="25DC15EE"/>
    <w:multiLevelType w:val="multilevel"/>
    <w:tmpl w:val="E7206966"/>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96300F9"/>
    <w:multiLevelType w:val="hybridMultilevel"/>
    <w:tmpl w:val="D0F4BD28"/>
    <w:lvl w:ilvl="0" w:tplc="47D65AF8">
      <w:start w:val="1"/>
      <w:numFmt w:val="decimal"/>
      <w:lvlText w:val="(%1)"/>
      <w:lvlJc w:val="left"/>
      <w:pPr>
        <w:tabs>
          <w:tab w:val="num" w:pos="1440"/>
        </w:tabs>
        <w:ind w:left="1440" w:hanging="720"/>
      </w:pPr>
      <w:rPr>
        <w:rFonts w:ascii="Arial" w:hAnsi="Arial" w:cs="Arial" w:hint="default"/>
        <w:sz w:val="22"/>
      </w:rPr>
    </w:lvl>
    <w:lvl w:ilvl="1" w:tplc="3AC05F4E" w:tentative="1">
      <w:start w:val="1"/>
      <w:numFmt w:val="lowerLetter"/>
      <w:lvlText w:val="%2."/>
      <w:lvlJc w:val="left"/>
      <w:pPr>
        <w:tabs>
          <w:tab w:val="num" w:pos="1800"/>
        </w:tabs>
        <w:ind w:left="1800" w:hanging="360"/>
      </w:pPr>
      <w:rPr>
        <w:rFonts w:cs="Times New Roman"/>
      </w:rPr>
    </w:lvl>
    <w:lvl w:ilvl="2" w:tplc="90DA7DEE" w:tentative="1">
      <w:start w:val="1"/>
      <w:numFmt w:val="lowerRoman"/>
      <w:lvlText w:val="%3."/>
      <w:lvlJc w:val="right"/>
      <w:pPr>
        <w:tabs>
          <w:tab w:val="num" w:pos="2520"/>
        </w:tabs>
        <w:ind w:left="2520" w:hanging="180"/>
      </w:pPr>
      <w:rPr>
        <w:rFonts w:cs="Times New Roman"/>
      </w:rPr>
    </w:lvl>
    <w:lvl w:ilvl="3" w:tplc="B27838E4" w:tentative="1">
      <w:start w:val="1"/>
      <w:numFmt w:val="decimal"/>
      <w:lvlText w:val="%4."/>
      <w:lvlJc w:val="left"/>
      <w:pPr>
        <w:tabs>
          <w:tab w:val="num" w:pos="3240"/>
        </w:tabs>
        <w:ind w:left="3240" w:hanging="360"/>
      </w:pPr>
      <w:rPr>
        <w:rFonts w:cs="Times New Roman"/>
      </w:rPr>
    </w:lvl>
    <w:lvl w:ilvl="4" w:tplc="F0A44370" w:tentative="1">
      <w:start w:val="1"/>
      <w:numFmt w:val="lowerLetter"/>
      <w:lvlText w:val="%5."/>
      <w:lvlJc w:val="left"/>
      <w:pPr>
        <w:tabs>
          <w:tab w:val="num" w:pos="3960"/>
        </w:tabs>
        <w:ind w:left="3960" w:hanging="360"/>
      </w:pPr>
      <w:rPr>
        <w:rFonts w:cs="Times New Roman"/>
      </w:rPr>
    </w:lvl>
    <w:lvl w:ilvl="5" w:tplc="7C9ABF02" w:tentative="1">
      <w:start w:val="1"/>
      <w:numFmt w:val="lowerRoman"/>
      <w:lvlText w:val="%6."/>
      <w:lvlJc w:val="right"/>
      <w:pPr>
        <w:tabs>
          <w:tab w:val="num" w:pos="4680"/>
        </w:tabs>
        <w:ind w:left="4680" w:hanging="180"/>
      </w:pPr>
      <w:rPr>
        <w:rFonts w:cs="Times New Roman"/>
      </w:rPr>
    </w:lvl>
    <w:lvl w:ilvl="6" w:tplc="1FE611FC" w:tentative="1">
      <w:start w:val="1"/>
      <w:numFmt w:val="decimal"/>
      <w:lvlText w:val="%7."/>
      <w:lvlJc w:val="left"/>
      <w:pPr>
        <w:tabs>
          <w:tab w:val="num" w:pos="5400"/>
        </w:tabs>
        <w:ind w:left="5400" w:hanging="360"/>
      </w:pPr>
      <w:rPr>
        <w:rFonts w:cs="Times New Roman"/>
      </w:rPr>
    </w:lvl>
    <w:lvl w:ilvl="7" w:tplc="501008C0" w:tentative="1">
      <w:start w:val="1"/>
      <w:numFmt w:val="lowerLetter"/>
      <w:lvlText w:val="%8."/>
      <w:lvlJc w:val="left"/>
      <w:pPr>
        <w:tabs>
          <w:tab w:val="num" w:pos="6120"/>
        </w:tabs>
        <w:ind w:left="6120" w:hanging="360"/>
      </w:pPr>
      <w:rPr>
        <w:rFonts w:cs="Times New Roman"/>
      </w:rPr>
    </w:lvl>
    <w:lvl w:ilvl="8" w:tplc="1F2C4308" w:tentative="1">
      <w:start w:val="1"/>
      <w:numFmt w:val="lowerRoman"/>
      <w:lvlText w:val="%9."/>
      <w:lvlJc w:val="right"/>
      <w:pPr>
        <w:tabs>
          <w:tab w:val="num" w:pos="6840"/>
        </w:tabs>
        <w:ind w:left="6840" w:hanging="180"/>
      </w:pPr>
      <w:rPr>
        <w:rFonts w:cs="Times New Roman"/>
      </w:rPr>
    </w:lvl>
  </w:abstractNum>
  <w:abstractNum w:abstractNumId="7" w15:restartNumberingAfterBreak="0">
    <w:nsid w:val="2C1D1057"/>
    <w:multiLevelType w:val="hybridMultilevel"/>
    <w:tmpl w:val="254E9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3E6F25"/>
    <w:multiLevelType w:val="multilevel"/>
    <w:tmpl w:val="6F323276"/>
    <w:lvl w:ilvl="0">
      <w:start w:val="1"/>
      <w:numFmt w:val="decimal"/>
      <w:lvlText w:val="%1."/>
      <w:lvlJc w:val="left"/>
      <w:pPr>
        <w:tabs>
          <w:tab w:val="num" w:pos="360"/>
        </w:tabs>
        <w:ind w:left="360" w:hanging="360"/>
      </w:pPr>
      <w:rPr>
        <w:rFonts w:cs="Times New Roman" w:hint="default"/>
        <w:b w:val="0"/>
      </w:rPr>
    </w:lvl>
    <w:lvl w:ilvl="1">
      <w:start w:val="3"/>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9" w15:restartNumberingAfterBreak="0">
    <w:nsid w:val="61FB1A21"/>
    <w:multiLevelType w:val="hybridMultilevel"/>
    <w:tmpl w:val="8BACE4F6"/>
    <w:lvl w:ilvl="0" w:tplc="92148044">
      <w:start w:val="1"/>
      <w:numFmt w:val="decimal"/>
      <w:lvlText w:val="(%1)"/>
      <w:lvlJc w:val="left"/>
      <w:pPr>
        <w:tabs>
          <w:tab w:val="num" w:pos="1080"/>
        </w:tabs>
        <w:ind w:left="1080" w:hanging="720"/>
      </w:pPr>
      <w:rPr>
        <w:rFonts w:ascii="Arial" w:hAnsi="Arial" w:cs="Arial" w:hint="default"/>
        <w:sz w:val="22"/>
      </w:rPr>
    </w:lvl>
    <w:lvl w:ilvl="1" w:tplc="296C68BA" w:tentative="1">
      <w:start w:val="1"/>
      <w:numFmt w:val="lowerLetter"/>
      <w:lvlText w:val="%2."/>
      <w:lvlJc w:val="left"/>
      <w:pPr>
        <w:tabs>
          <w:tab w:val="num" w:pos="1440"/>
        </w:tabs>
        <w:ind w:left="1440" w:hanging="360"/>
      </w:pPr>
      <w:rPr>
        <w:rFonts w:cs="Times New Roman"/>
      </w:rPr>
    </w:lvl>
    <w:lvl w:ilvl="2" w:tplc="0D049FA4" w:tentative="1">
      <w:start w:val="1"/>
      <w:numFmt w:val="lowerRoman"/>
      <w:lvlText w:val="%3."/>
      <w:lvlJc w:val="right"/>
      <w:pPr>
        <w:tabs>
          <w:tab w:val="num" w:pos="2160"/>
        </w:tabs>
        <w:ind w:left="2160" w:hanging="180"/>
      </w:pPr>
      <w:rPr>
        <w:rFonts w:cs="Times New Roman"/>
      </w:rPr>
    </w:lvl>
    <w:lvl w:ilvl="3" w:tplc="0480E9F4" w:tentative="1">
      <w:start w:val="1"/>
      <w:numFmt w:val="decimal"/>
      <w:lvlText w:val="%4."/>
      <w:lvlJc w:val="left"/>
      <w:pPr>
        <w:tabs>
          <w:tab w:val="num" w:pos="2880"/>
        </w:tabs>
        <w:ind w:left="2880" w:hanging="360"/>
      </w:pPr>
      <w:rPr>
        <w:rFonts w:cs="Times New Roman"/>
      </w:rPr>
    </w:lvl>
    <w:lvl w:ilvl="4" w:tplc="D5C8E944" w:tentative="1">
      <w:start w:val="1"/>
      <w:numFmt w:val="lowerLetter"/>
      <w:lvlText w:val="%5."/>
      <w:lvlJc w:val="left"/>
      <w:pPr>
        <w:tabs>
          <w:tab w:val="num" w:pos="3600"/>
        </w:tabs>
        <w:ind w:left="3600" w:hanging="360"/>
      </w:pPr>
      <w:rPr>
        <w:rFonts w:cs="Times New Roman"/>
      </w:rPr>
    </w:lvl>
    <w:lvl w:ilvl="5" w:tplc="6C10FBEC" w:tentative="1">
      <w:start w:val="1"/>
      <w:numFmt w:val="lowerRoman"/>
      <w:lvlText w:val="%6."/>
      <w:lvlJc w:val="right"/>
      <w:pPr>
        <w:tabs>
          <w:tab w:val="num" w:pos="4320"/>
        </w:tabs>
        <w:ind w:left="4320" w:hanging="180"/>
      </w:pPr>
      <w:rPr>
        <w:rFonts w:cs="Times New Roman"/>
      </w:rPr>
    </w:lvl>
    <w:lvl w:ilvl="6" w:tplc="1486AE72" w:tentative="1">
      <w:start w:val="1"/>
      <w:numFmt w:val="decimal"/>
      <w:lvlText w:val="%7."/>
      <w:lvlJc w:val="left"/>
      <w:pPr>
        <w:tabs>
          <w:tab w:val="num" w:pos="5040"/>
        </w:tabs>
        <w:ind w:left="5040" w:hanging="360"/>
      </w:pPr>
      <w:rPr>
        <w:rFonts w:cs="Times New Roman"/>
      </w:rPr>
    </w:lvl>
    <w:lvl w:ilvl="7" w:tplc="E2D238C4" w:tentative="1">
      <w:start w:val="1"/>
      <w:numFmt w:val="lowerLetter"/>
      <w:lvlText w:val="%8."/>
      <w:lvlJc w:val="left"/>
      <w:pPr>
        <w:tabs>
          <w:tab w:val="num" w:pos="5760"/>
        </w:tabs>
        <w:ind w:left="5760" w:hanging="360"/>
      </w:pPr>
      <w:rPr>
        <w:rFonts w:cs="Times New Roman"/>
      </w:rPr>
    </w:lvl>
    <w:lvl w:ilvl="8" w:tplc="354869B6" w:tentative="1">
      <w:start w:val="1"/>
      <w:numFmt w:val="lowerRoman"/>
      <w:lvlText w:val="%9."/>
      <w:lvlJc w:val="right"/>
      <w:pPr>
        <w:tabs>
          <w:tab w:val="num" w:pos="6480"/>
        </w:tabs>
        <w:ind w:left="6480" w:hanging="180"/>
      </w:pPr>
      <w:rPr>
        <w:rFonts w:cs="Times New Roman"/>
      </w:rPr>
    </w:lvl>
  </w:abstractNum>
  <w:abstractNum w:abstractNumId="10" w15:restartNumberingAfterBreak="0">
    <w:nsid w:val="66297720"/>
    <w:multiLevelType w:val="hybridMultilevel"/>
    <w:tmpl w:val="D372435A"/>
    <w:lvl w:ilvl="0" w:tplc="89948014">
      <w:start w:val="1"/>
      <w:numFmt w:val="bullet"/>
      <w:lvlText w:val=""/>
      <w:lvlJc w:val="left"/>
      <w:pPr>
        <w:tabs>
          <w:tab w:val="num" w:pos="720"/>
        </w:tabs>
        <w:ind w:left="720" w:hanging="360"/>
      </w:pPr>
      <w:rPr>
        <w:rFonts w:ascii="Symbol" w:hAnsi="Symbol" w:hint="default"/>
        <w:sz w:val="20"/>
      </w:rPr>
    </w:lvl>
    <w:lvl w:ilvl="1" w:tplc="FB10351C" w:tentative="1">
      <w:start w:val="1"/>
      <w:numFmt w:val="bullet"/>
      <w:lvlText w:val="o"/>
      <w:lvlJc w:val="left"/>
      <w:pPr>
        <w:tabs>
          <w:tab w:val="num" w:pos="1440"/>
        </w:tabs>
        <w:ind w:left="1440" w:hanging="360"/>
      </w:pPr>
      <w:rPr>
        <w:rFonts w:ascii="Courier New" w:hAnsi="Courier New" w:hint="default"/>
        <w:sz w:val="20"/>
      </w:rPr>
    </w:lvl>
    <w:lvl w:ilvl="2" w:tplc="C5A252A6" w:tentative="1">
      <w:start w:val="1"/>
      <w:numFmt w:val="bullet"/>
      <w:lvlText w:val=""/>
      <w:lvlJc w:val="left"/>
      <w:pPr>
        <w:tabs>
          <w:tab w:val="num" w:pos="2160"/>
        </w:tabs>
        <w:ind w:left="2160" w:hanging="360"/>
      </w:pPr>
      <w:rPr>
        <w:rFonts w:ascii="Wingdings" w:hAnsi="Wingdings" w:hint="default"/>
        <w:sz w:val="20"/>
      </w:rPr>
    </w:lvl>
    <w:lvl w:ilvl="3" w:tplc="3CCE2C4E" w:tentative="1">
      <w:start w:val="1"/>
      <w:numFmt w:val="bullet"/>
      <w:lvlText w:val=""/>
      <w:lvlJc w:val="left"/>
      <w:pPr>
        <w:tabs>
          <w:tab w:val="num" w:pos="2880"/>
        </w:tabs>
        <w:ind w:left="2880" w:hanging="360"/>
      </w:pPr>
      <w:rPr>
        <w:rFonts w:ascii="Wingdings" w:hAnsi="Wingdings" w:hint="default"/>
        <w:sz w:val="20"/>
      </w:rPr>
    </w:lvl>
    <w:lvl w:ilvl="4" w:tplc="2168E724" w:tentative="1">
      <w:start w:val="1"/>
      <w:numFmt w:val="bullet"/>
      <w:lvlText w:val=""/>
      <w:lvlJc w:val="left"/>
      <w:pPr>
        <w:tabs>
          <w:tab w:val="num" w:pos="3600"/>
        </w:tabs>
        <w:ind w:left="3600" w:hanging="360"/>
      </w:pPr>
      <w:rPr>
        <w:rFonts w:ascii="Wingdings" w:hAnsi="Wingdings" w:hint="default"/>
        <w:sz w:val="20"/>
      </w:rPr>
    </w:lvl>
    <w:lvl w:ilvl="5" w:tplc="F25651F8" w:tentative="1">
      <w:start w:val="1"/>
      <w:numFmt w:val="bullet"/>
      <w:lvlText w:val=""/>
      <w:lvlJc w:val="left"/>
      <w:pPr>
        <w:tabs>
          <w:tab w:val="num" w:pos="4320"/>
        </w:tabs>
        <w:ind w:left="4320" w:hanging="360"/>
      </w:pPr>
      <w:rPr>
        <w:rFonts w:ascii="Wingdings" w:hAnsi="Wingdings" w:hint="default"/>
        <w:sz w:val="20"/>
      </w:rPr>
    </w:lvl>
    <w:lvl w:ilvl="6" w:tplc="1368F560" w:tentative="1">
      <w:start w:val="1"/>
      <w:numFmt w:val="bullet"/>
      <w:lvlText w:val=""/>
      <w:lvlJc w:val="left"/>
      <w:pPr>
        <w:tabs>
          <w:tab w:val="num" w:pos="5040"/>
        </w:tabs>
        <w:ind w:left="5040" w:hanging="360"/>
      </w:pPr>
      <w:rPr>
        <w:rFonts w:ascii="Wingdings" w:hAnsi="Wingdings" w:hint="default"/>
        <w:sz w:val="20"/>
      </w:rPr>
    </w:lvl>
    <w:lvl w:ilvl="7" w:tplc="015213E4" w:tentative="1">
      <w:start w:val="1"/>
      <w:numFmt w:val="bullet"/>
      <w:lvlText w:val=""/>
      <w:lvlJc w:val="left"/>
      <w:pPr>
        <w:tabs>
          <w:tab w:val="num" w:pos="5760"/>
        </w:tabs>
        <w:ind w:left="5760" w:hanging="360"/>
      </w:pPr>
      <w:rPr>
        <w:rFonts w:ascii="Wingdings" w:hAnsi="Wingdings" w:hint="default"/>
        <w:sz w:val="20"/>
      </w:rPr>
    </w:lvl>
    <w:lvl w:ilvl="8" w:tplc="675EFC2E"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BC480A"/>
    <w:multiLevelType w:val="hybridMultilevel"/>
    <w:tmpl w:val="B6404C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742003">
    <w:abstractNumId w:val="8"/>
  </w:num>
  <w:num w:numId="2" w16cid:durableId="1563248054">
    <w:abstractNumId w:val="10"/>
  </w:num>
  <w:num w:numId="3" w16cid:durableId="1578513243">
    <w:abstractNumId w:val="0"/>
  </w:num>
  <w:num w:numId="4" w16cid:durableId="1591771032">
    <w:abstractNumId w:val="11"/>
  </w:num>
  <w:num w:numId="5" w16cid:durableId="1669944857">
    <w:abstractNumId w:val="2"/>
  </w:num>
  <w:num w:numId="6" w16cid:durableId="1798790414">
    <w:abstractNumId w:val="6"/>
  </w:num>
  <w:num w:numId="7" w16cid:durableId="1819347071">
    <w:abstractNumId w:val="3"/>
  </w:num>
  <w:num w:numId="8" w16cid:durableId="1890649850">
    <w:abstractNumId w:val="5"/>
  </w:num>
  <w:num w:numId="9" w16cid:durableId="1960261311">
    <w:abstractNumId w:val="9"/>
  </w:num>
  <w:num w:numId="10" w16cid:durableId="37702949">
    <w:abstractNumId w:val="7"/>
  </w:num>
  <w:num w:numId="11" w16cid:durableId="646129392">
    <w:abstractNumId w:val="1"/>
  </w:num>
  <w:num w:numId="12" w16cid:durableId="705182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E794084-83B0-4B46-BD37-262E0589DDB9}"/>
    <w:docVar w:name="dgnword-eventsink" w:val="507668536"/>
  </w:docVars>
  <w:rsids>
    <w:rsidRoot w:val="00234FB1"/>
    <w:rsid w:val="00002185"/>
    <w:rsid w:val="00004263"/>
    <w:rsid w:val="000145A4"/>
    <w:rsid w:val="00015BCA"/>
    <w:rsid w:val="0002135C"/>
    <w:rsid w:val="000238C8"/>
    <w:rsid w:val="00024651"/>
    <w:rsid w:val="00024CC7"/>
    <w:rsid w:val="000326B8"/>
    <w:rsid w:val="0004094A"/>
    <w:rsid w:val="00044597"/>
    <w:rsid w:val="000551BC"/>
    <w:rsid w:val="000605E2"/>
    <w:rsid w:val="00062A48"/>
    <w:rsid w:val="00065A38"/>
    <w:rsid w:val="00072A33"/>
    <w:rsid w:val="00073130"/>
    <w:rsid w:val="00081708"/>
    <w:rsid w:val="00084D3B"/>
    <w:rsid w:val="00085C13"/>
    <w:rsid w:val="000953D2"/>
    <w:rsid w:val="00097186"/>
    <w:rsid w:val="000A21A6"/>
    <w:rsid w:val="000B5149"/>
    <w:rsid w:val="000C0E29"/>
    <w:rsid w:val="000C13A6"/>
    <w:rsid w:val="000C2825"/>
    <w:rsid w:val="000C704A"/>
    <w:rsid w:val="000D2FE4"/>
    <w:rsid w:val="000D57F1"/>
    <w:rsid w:val="000D615D"/>
    <w:rsid w:val="000D6D1A"/>
    <w:rsid w:val="000D7ADE"/>
    <w:rsid w:val="000F420C"/>
    <w:rsid w:val="000F493C"/>
    <w:rsid w:val="000F7542"/>
    <w:rsid w:val="00103476"/>
    <w:rsid w:val="00104C97"/>
    <w:rsid w:val="001073E2"/>
    <w:rsid w:val="001106A2"/>
    <w:rsid w:val="00111263"/>
    <w:rsid w:val="00112EA1"/>
    <w:rsid w:val="00125259"/>
    <w:rsid w:val="00130727"/>
    <w:rsid w:val="00130792"/>
    <w:rsid w:val="00131974"/>
    <w:rsid w:val="001419B0"/>
    <w:rsid w:val="001453D6"/>
    <w:rsid w:val="001544B2"/>
    <w:rsid w:val="00156FE0"/>
    <w:rsid w:val="00163D02"/>
    <w:rsid w:val="00167521"/>
    <w:rsid w:val="001721E4"/>
    <w:rsid w:val="00173016"/>
    <w:rsid w:val="001738FF"/>
    <w:rsid w:val="0017457D"/>
    <w:rsid w:val="001745F3"/>
    <w:rsid w:val="00174C6A"/>
    <w:rsid w:val="001774E7"/>
    <w:rsid w:val="001809A6"/>
    <w:rsid w:val="00180D6A"/>
    <w:rsid w:val="001812EC"/>
    <w:rsid w:val="001918E8"/>
    <w:rsid w:val="00194FD1"/>
    <w:rsid w:val="001A3D94"/>
    <w:rsid w:val="001A557A"/>
    <w:rsid w:val="001A7AC7"/>
    <w:rsid w:val="001B11DC"/>
    <w:rsid w:val="001B30AC"/>
    <w:rsid w:val="001B3DF4"/>
    <w:rsid w:val="001B4B02"/>
    <w:rsid w:val="001C390E"/>
    <w:rsid w:val="001C4DDC"/>
    <w:rsid w:val="001C502E"/>
    <w:rsid w:val="001D24C8"/>
    <w:rsid w:val="001E121C"/>
    <w:rsid w:val="001F0F91"/>
    <w:rsid w:val="001F39F1"/>
    <w:rsid w:val="001F4753"/>
    <w:rsid w:val="002005AF"/>
    <w:rsid w:val="002235F5"/>
    <w:rsid w:val="00224D37"/>
    <w:rsid w:val="0023001E"/>
    <w:rsid w:val="00231B92"/>
    <w:rsid w:val="002333FF"/>
    <w:rsid w:val="00234FB1"/>
    <w:rsid w:val="00235F4F"/>
    <w:rsid w:val="00243E67"/>
    <w:rsid w:val="002476AD"/>
    <w:rsid w:val="00256A7C"/>
    <w:rsid w:val="00256B7C"/>
    <w:rsid w:val="00256D12"/>
    <w:rsid w:val="00260A29"/>
    <w:rsid w:val="0026440B"/>
    <w:rsid w:val="00280BA7"/>
    <w:rsid w:val="0028432D"/>
    <w:rsid w:val="00285AE4"/>
    <w:rsid w:val="00291CA1"/>
    <w:rsid w:val="00296749"/>
    <w:rsid w:val="002A0680"/>
    <w:rsid w:val="002A16BA"/>
    <w:rsid w:val="002A4DCD"/>
    <w:rsid w:val="002A5F30"/>
    <w:rsid w:val="002B5188"/>
    <w:rsid w:val="002C1692"/>
    <w:rsid w:val="002D1AD1"/>
    <w:rsid w:val="002D588A"/>
    <w:rsid w:val="002D7403"/>
    <w:rsid w:val="002E5E26"/>
    <w:rsid w:val="002F3A27"/>
    <w:rsid w:val="00302E99"/>
    <w:rsid w:val="00305016"/>
    <w:rsid w:val="003069D0"/>
    <w:rsid w:val="003148C1"/>
    <w:rsid w:val="0032263F"/>
    <w:rsid w:val="003228F7"/>
    <w:rsid w:val="00330DC9"/>
    <w:rsid w:val="00332704"/>
    <w:rsid w:val="00337E8B"/>
    <w:rsid w:val="00342302"/>
    <w:rsid w:val="00343AF0"/>
    <w:rsid w:val="003479E5"/>
    <w:rsid w:val="00351656"/>
    <w:rsid w:val="003559B8"/>
    <w:rsid w:val="00356274"/>
    <w:rsid w:val="003609E8"/>
    <w:rsid w:val="0036178C"/>
    <w:rsid w:val="0036325A"/>
    <w:rsid w:val="00363678"/>
    <w:rsid w:val="00372C83"/>
    <w:rsid w:val="00374356"/>
    <w:rsid w:val="00376653"/>
    <w:rsid w:val="00384D20"/>
    <w:rsid w:val="0038520D"/>
    <w:rsid w:val="00394E09"/>
    <w:rsid w:val="003963EC"/>
    <w:rsid w:val="003B2E05"/>
    <w:rsid w:val="003B68B7"/>
    <w:rsid w:val="003C0C9D"/>
    <w:rsid w:val="003C1F81"/>
    <w:rsid w:val="003D49C5"/>
    <w:rsid w:val="003E21E9"/>
    <w:rsid w:val="003E226B"/>
    <w:rsid w:val="003E4843"/>
    <w:rsid w:val="003E4D33"/>
    <w:rsid w:val="003F2692"/>
    <w:rsid w:val="003F34E3"/>
    <w:rsid w:val="004024F5"/>
    <w:rsid w:val="004043DC"/>
    <w:rsid w:val="0040610F"/>
    <w:rsid w:val="0041156E"/>
    <w:rsid w:val="0041411B"/>
    <w:rsid w:val="00414584"/>
    <w:rsid w:val="004226DE"/>
    <w:rsid w:val="00422874"/>
    <w:rsid w:val="004270B3"/>
    <w:rsid w:val="00430F76"/>
    <w:rsid w:val="00434105"/>
    <w:rsid w:val="00435583"/>
    <w:rsid w:val="00436210"/>
    <w:rsid w:val="00443DA6"/>
    <w:rsid w:val="00444461"/>
    <w:rsid w:val="00454847"/>
    <w:rsid w:val="004551FE"/>
    <w:rsid w:val="004623C3"/>
    <w:rsid w:val="004642E2"/>
    <w:rsid w:val="0046668B"/>
    <w:rsid w:val="00467246"/>
    <w:rsid w:val="004736E4"/>
    <w:rsid w:val="00473A6F"/>
    <w:rsid w:val="004911A1"/>
    <w:rsid w:val="00492AB4"/>
    <w:rsid w:val="00494C0F"/>
    <w:rsid w:val="0049557C"/>
    <w:rsid w:val="004A45E7"/>
    <w:rsid w:val="004B3438"/>
    <w:rsid w:val="004B5B8F"/>
    <w:rsid w:val="004B624B"/>
    <w:rsid w:val="004B6C59"/>
    <w:rsid w:val="004C1540"/>
    <w:rsid w:val="004C3EB2"/>
    <w:rsid w:val="004C40FF"/>
    <w:rsid w:val="004C4F82"/>
    <w:rsid w:val="004D3F0C"/>
    <w:rsid w:val="004D7A6C"/>
    <w:rsid w:val="004E1D02"/>
    <w:rsid w:val="004E4BF0"/>
    <w:rsid w:val="004E519F"/>
    <w:rsid w:val="004F0CBE"/>
    <w:rsid w:val="004F69A3"/>
    <w:rsid w:val="00500C00"/>
    <w:rsid w:val="00504493"/>
    <w:rsid w:val="005048CB"/>
    <w:rsid w:val="00504FB4"/>
    <w:rsid w:val="0050526A"/>
    <w:rsid w:val="00506CC6"/>
    <w:rsid w:val="005125E9"/>
    <w:rsid w:val="00513355"/>
    <w:rsid w:val="00513C63"/>
    <w:rsid w:val="00513DFE"/>
    <w:rsid w:val="00522E37"/>
    <w:rsid w:val="005320E1"/>
    <w:rsid w:val="00541B64"/>
    <w:rsid w:val="005421CC"/>
    <w:rsid w:val="00545B7A"/>
    <w:rsid w:val="005524BC"/>
    <w:rsid w:val="005530A6"/>
    <w:rsid w:val="00557E8F"/>
    <w:rsid w:val="005601E8"/>
    <w:rsid w:val="005638EB"/>
    <w:rsid w:val="00570F75"/>
    <w:rsid w:val="0057168E"/>
    <w:rsid w:val="0057537C"/>
    <w:rsid w:val="00577884"/>
    <w:rsid w:val="0058054E"/>
    <w:rsid w:val="005850C3"/>
    <w:rsid w:val="00585774"/>
    <w:rsid w:val="00591B81"/>
    <w:rsid w:val="0059398A"/>
    <w:rsid w:val="00596F9A"/>
    <w:rsid w:val="005A09A7"/>
    <w:rsid w:val="005B4203"/>
    <w:rsid w:val="005D1992"/>
    <w:rsid w:val="005D4183"/>
    <w:rsid w:val="005D436C"/>
    <w:rsid w:val="005D7BB1"/>
    <w:rsid w:val="005E00D5"/>
    <w:rsid w:val="005E12E6"/>
    <w:rsid w:val="005E15DE"/>
    <w:rsid w:val="005E21D5"/>
    <w:rsid w:val="005E76D7"/>
    <w:rsid w:val="005F0FB5"/>
    <w:rsid w:val="005F29C6"/>
    <w:rsid w:val="005F4D2E"/>
    <w:rsid w:val="005F5DF9"/>
    <w:rsid w:val="005F67CA"/>
    <w:rsid w:val="00604CF2"/>
    <w:rsid w:val="006051BD"/>
    <w:rsid w:val="00605A45"/>
    <w:rsid w:val="00612463"/>
    <w:rsid w:val="00613D50"/>
    <w:rsid w:val="00615DB3"/>
    <w:rsid w:val="00620855"/>
    <w:rsid w:val="006219CA"/>
    <w:rsid w:val="00621BB5"/>
    <w:rsid w:val="006221A1"/>
    <w:rsid w:val="00625DA5"/>
    <w:rsid w:val="00630C54"/>
    <w:rsid w:val="00631139"/>
    <w:rsid w:val="00634F96"/>
    <w:rsid w:val="006354B6"/>
    <w:rsid w:val="00641A68"/>
    <w:rsid w:val="00642231"/>
    <w:rsid w:val="00643373"/>
    <w:rsid w:val="0064492D"/>
    <w:rsid w:val="006451B6"/>
    <w:rsid w:val="00645D36"/>
    <w:rsid w:val="00646900"/>
    <w:rsid w:val="006549F4"/>
    <w:rsid w:val="00656FA2"/>
    <w:rsid w:val="006605D1"/>
    <w:rsid w:val="006606A5"/>
    <w:rsid w:val="00664414"/>
    <w:rsid w:val="00664E69"/>
    <w:rsid w:val="00665609"/>
    <w:rsid w:val="00670625"/>
    <w:rsid w:val="00677624"/>
    <w:rsid w:val="00681EC4"/>
    <w:rsid w:val="006853FA"/>
    <w:rsid w:val="006B2A23"/>
    <w:rsid w:val="006B355E"/>
    <w:rsid w:val="006B3865"/>
    <w:rsid w:val="006B5DD1"/>
    <w:rsid w:val="006C3CC8"/>
    <w:rsid w:val="006C656D"/>
    <w:rsid w:val="006D48DE"/>
    <w:rsid w:val="006E2B7A"/>
    <w:rsid w:val="006E6382"/>
    <w:rsid w:val="006F7F69"/>
    <w:rsid w:val="00707216"/>
    <w:rsid w:val="007107DF"/>
    <w:rsid w:val="0071229B"/>
    <w:rsid w:val="00714858"/>
    <w:rsid w:val="00715084"/>
    <w:rsid w:val="007200BF"/>
    <w:rsid w:val="00723ED7"/>
    <w:rsid w:val="0072664B"/>
    <w:rsid w:val="007267B6"/>
    <w:rsid w:val="00727854"/>
    <w:rsid w:val="0073561A"/>
    <w:rsid w:val="0074425B"/>
    <w:rsid w:val="007550E6"/>
    <w:rsid w:val="00755630"/>
    <w:rsid w:val="0075726A"/>
    <w:rsid w:val="007600D1"/>
    <w:rsid w:val="00760D8E"/>
    <w:rsid w:val="007646CA"/>
    <w:rsid w:val="00775F2C"/>
    <w:rsid w:val="007826A2"/>
    <w:rsid w:val="0078272D"/>
    <w:rsid w:val="00783469"/>
    <w:rsid w:val="00784DE3"/>
    <w:rsid w:val="00785263"/>
    <w:rsid w:val="007A006D"/>
    <w:rsid w:val="007A314E"/>
    <w:rsid w:val="007A6F09"/>
    <w:rsid w:val="007B15E9"/>
    <w:rsid w:val="007B1702"/>
    <w:rsid w:val="007B5743"/>
    <w:rsid w:val="007B7F8F"/>
    <w:rsid w:val="007D09F2"/>
    <w:rsid w:val="007F0381"/>
    <w:rsid w:val="007F08A8"/>
    <w:rsid w:val="007F0E7D"/>
    <w:rsid w:val="007F255B"/>
    <w:rsid w:val="00802EF7"/>
    <w:rsid w:val="0080511D"/>
    <w:rsid w:val="00806E4E"/>
    <w:rsid w:val="0080722F"/>
    <w:rsid w:val="00807564"/>
    <w:rsid w:val="00811940"/>
    <w:rsid w:val="008124DD"/>
    <w:rsid w:val="00816924"/>
    <w:rsid w:val="00827C81"/>
    <w:rsid w:val="0083541F"/>
    <w:rsid w:val="008412EF"/>
    <w:rsid w:val="008419FE"/>
    <w:rsid w:val="00841B81"/>
    <w:rsid w:val="00843507"/>
    <w:rsid w:val="00847083"/>
    <w:rsid w:val="00850D44"/>
    <w:rsid w:val="00850F75"/>
    <w:rsid w:val="00853337"/>
    <w:rsid w:val="00863C40"/>
    <w:rsid w:val="00866539"/>
    <w:rsid w:val="00876F6C"/>
    <w:rsid w:val="0088056E"/>
    <w:rsid w:val="0088687A"/>
    <w:rsid w:val="00890BC2"/>
    <w:rsid w:val="008B38C2"/>
    <w:rsid w:val="008B4504"/>
    <w:rsid w:val="008B66D9"/>
    <w:rsid w:val="008B7669"/>
    <w:rsid w:val="008C12FC"/>
    <w:rsid w:val="008C1686"/>
    <w:rsid w:val="008D07B7"/>
    <w:rsid w:val="008D12DD"/>
    <w:rsid w:val="008D18EE"/>
    <w:rsid w:val="008D502C"/>
    <w:rsid w:val="008E0F78"/>
    <w:rsid w:val="008E204C"/>
    <w:rsid w:val="008E6675"/>
    <w:rsid w:val="008F5140"/>
    <w:rsid w:val="00900E00"/>
    <w:rsid w:val="00901391"/>
    <w:rsid w:val="0090403B"/>
    <w:rsid w:val="00904CF3"/>
    <w:rsid w:val="00913E26"/>
    <w:rsid w:val="00916D96"/>
    <w:rsid w:val="00917B26"/>
    <w:rsid w:val="00921283"/>
    <w:rsid w:val="0092165A"/>
    <w:rsid w:val="009252E5"/>
    <w:rsid w:val="00925542"/>
    <w:rsid w:val="00937C59"/>
    <w:rsid w:val="00944F76"/>
    <w:rsid w:val="00945896"/>
    <w:rsid w:val="00950663"/>
    <w:rsid w:val="00951B95"/>
    <w:rsid w:val="00952514"/>
    <w:rsid w:val="009545AF"/>
    <w:rsid w:val="0096098C"/>
    <w:rsid w:val="00962BD9"/>
    <w:rsid w:val="009637B8"/>
    <w:rsid w:val="009641A5"/>
    <w:rsid w:val="00970724"/>
    <w:rsid w:val="00976D8B"/>
    <w:rsid w:val="00983554"/>
    <w:rsid w:val="00991A77"/>
    <w:rsid w:val="009A05BA"/>
    <w:rsid w:val="009A1839"/>
    <w:rsid w:val="009A1D05"/>
    <w:rsid w:val="009A4D71"/>
    <w:rsid w:val="009B1C7E"/>
    <w:rsid w:val="009B6935"/>
    <w:rsid w:val="009C0B84"/>
    <w:rsid w:val="009C144E"/>
    <w:rsid w:val="009D0E72"/>
    <w:rsid w:val="009D2013"/>
    <w:rsid w:val="009D2BAB"/>
    <w:rsid w:val="009D4A25"/>
    <w:rsid w:val="009E14F4"/>
    <w:rsid w:val="009E60A3"/>
    <w:rsid w:val="009F1B70"/>
    <w:rsid w:val="009F563A"/>
    <w:rsid w:val="009F5818"/>
    <w:rsid w:val="00A00CCB"/>
    <w:rsid w:val="00A03DA1"/>
    <w:rsid w:val="00A07FE5"/>
    <w:rsid w:val="00A100DC"/>
    <w:rsid w:val="00A10655"/>
    <w:rsid w:val="00A10AC8"/>
    <w:rsid w:val="00A135A8"/>
    <w:rsid w:val="00A2016B"/>
    <w:rsid w:val="00A21E9E"/>
    <w:rsid w:val="00A22397"/>
    <w:rsid w:val="00A257BB"/>
    <w:rsid w:val="00A274EA"/>
    <w:rsid w:val="00A27596"/>
    <w:rsid w:val="00A331A3"/>
    <w:rsid w:val="00A345A9"/>
    <w:rsid w:val="00A4367A"/>
    <w:rsid w:val="00A43812"/>
    <w:rsid w:val="00A530BE"/>
    <w:rsid w:val="00A56FF0"/>
    <w:rsid w:val="00A646A5"/>
    <w:rsid w:val="00A748F6"/>
    <w:rsid w:val="00A84224"/>
    <w:rsid w:val="00A85C73"/>
    <w:rsid w:val="00A905AC"/>
    <w:rsid w:val="00A928FA"/>
    <w:rsid w:val="00A93AAD"/>
    <w:rsid w:val="00AA41F0"/>
    <w:rsid w:val="00AA4823"/>
    <w:rsid w:val="00AA6B4F"/>
    <w:rsid w:val="00AB10BF"/>
    <w:rsid w:val="00AB1BC8"/>
    <w:rsid w:val="00AE101E"/>
    <w:rsid w:val="00AE1068"/>
    <w:rsid w:val="00AE1DF1"/>
    <w:rsid w:val="00AE45C2"/>
    <w:rsid w:val="00AE4AA9"/>
    <w:rsid w:val="00AE4C49"/>
    <w:rsid w:val="00AF0D6D"/>
    <w:rsid w:val="00AF4D06"/>
    <w:rsid w:val="00AF6CAB"/>
    <w:rsid w:val="00B03A61"/>
    <w:rsid w:val="00B03C2C"/>
    <w:rsid w:val="00B04FEC"/>
    <w:rsid w:val="00B06252"/>
    <w:rsid w:val="00B20DFB"/>
    <w:rsid w:val="00B22E8A"/>
    <w:rsid w:val="00B259E2"/>
    <w:rsid w:val="00B2659D"/>
    <w:rsid w:val="00B27228"/>
    <w:rsid w:val="00B34E56"/>
    <w:rsid w:val="00B3601A"/>
    <w:rsid w:val="00B4291C"/>
    <w:rsid w:val="00B42A9D"/>
    <w:rsid w:val="00B441E4"/>
    <w:rsid w:val="00B44898"/>
    <w:rsid w:val="00B521CC"/>
    <w:rsid w:val="00B52FBB"/>
    <w:rsid w:val="00B574E9"/>
    <w:rsid w:val="00B6570D"/>
    <w:rsid w:val="00B731D4"/>
    <w:rsid w:val="00B746CA"/>
    <w:rsid w:val="00B773B8"/>
    <w:rsid w:val="00B810B3"/>
    <w:rsid w:val="00B87087"/>
    <w:rsid w:val="00B96BDC"/>
    <w:rsid w:val="00BA32B9"/>
    <w:rsid w:val="00BA6044"/>
    <w:rsid w:val="00BA74EE"/>
    <w:rsid w:val="00BB0063"/>
    <w:rsid w:val="00BB4A54"/>
    <w:rsid w:val="00BB5308"/>
    <w:rsid w:val="00BB6117"/>
    <w:rsid w:val="00BB6A9F"/>
    <w:rsid w:val="00BB76DE"/>
    <w:rsid w:val="00BC3D19"/>
    <w:rsid w:val="00BC4042"/>
    <w:rsid w:val="00BC47BA"/>
    <w:rsid w:val="00BD2F6C"/>
    <w:rsid w:val="00BD793F"/>
    <w:rsid w:val="00BE17A3"/>
    <w:rsid w:val="00BE3979"/>
    <w:rsid w:val="00BE4A0F"/>
    <w:rsid w:val="00BF11AE"/>
    <w:rsid w:val="00BF25CC"/>
    <w:rsid w:val="00BF3630"/>
    <w:rsid w:val="00C112A6"/>
    <w:rsid w:val="00C11458"/>
    <w:rsid w:val="00C153D5"/>
    <w:rsid w:val="00C21654"/>
    <w:rsid w:val="00C27800"/>
    <w:rsid w:val="00C35BFE"/>
    <w:rsid w:val="00C43084"/>
    <w:rsid w:val="00C45A11"/>
    <w:rsid w:val="00C50916"/>
    <w:rsid w:val="00C51F9A"/>
    <w:rsid w:val="00C524B6"/>
    <w:rsid w:val="00C52F29"/>
    <w:rsid w:val="00C60495"/>
    <w:rsid w:val="00C623FB"/>
    <w:rsid w:val="00C62591"/>
    <w:rsid w:val="00C6628D"/>
    <w:rsid w:val="00C676EE"/>
    <w:rsid w:val="00C747EC"/>
    <w:rsid w:val="00C855DA"/>
    <w:rsid w:val="00C8772B"/>
    <w:rsid w:val="00C92FF9"/>
    <w:rsid w:val="00C9458E"/>
    <w:rsid w:val="00CA6D4C"/>
    <w:rsid w:val="00CA7123"/>
    <w:rsid w:val="00CB3308"/>
    <w:rsid w:val="00CB3CA3"/>
    <w:rsid w:val="00CB7E53"/>
    <w:rsid w:val="00CC0C6B"/>
    <w:rsid w:val="00CC64D1"/>
    <w:rsid w:val="00CC7E5F"/>
    <w:rsid w:val="00CD2365"/>
    <w:rsid w:val="00CD685C"/>
    <w:rsid w:val="00CD7242"/>
    <w:rsid w:val="00CE24DC"/>
    <w:rsid w:val="00CE4766"/>
    <w:rsid w:val="00CE69F3"/>
    <w:rsid w:val="00CE7B3B"/>
    <w:rsid w:val="00CF25F4"/>
    <w:rsid w:val="00CF56C3"/>
    <w:rsid w:val="00CF5ECC"/>
    <w:rsid w:val="00D0187A"/>
    <w:rsid w:val="00D04808"/>
    <w:rsid w:val="00D055B3"/>
    <w:rsid w:val="00D14350"/>
    <w:rsid w:val="00D14B9D"/>
    <w:rsid w:val="00D1775C"/>
    <w:rsid w:val="00D216BD"/>
    <w:rsid w:val="00D21A79"/>
    <w:rsid w:val="00D234E7"/>
    <w:rsid w:val="00D30DC5"/>
    <w:rsid w:val="00D35BB2"/>
    <w:rsid w:val="00D36720"/>
    <w:rsid w:val="00D41422"/>
    <w:rsid w:val="00D475D4"/>
    <w:rsid w:val="00D50139"/>
    <w:rsid w:val="00D60DAD"/>
    <w:rsid w:val="00D62489"/>
    <w:rsid w:val="00D66B25"/>
    <w:rsid w:val="00D75994"/>
    <w:rsid w:val="00D82544"/>
    <w:rsid w:val="00D87B96"/>
    <w:rsid w:val="00D9309E"/>
    <w:rsid w:val="00D93DD6"/>
    <w:rsid w:val="00D9586E"/>
    <w:rsid w:val="00D969DB"/>
    <w:rsid w:val="00DA6B38"/>
    <w:rsid w:val="00DB14F4"/>
    <w:rsid w:val="00DB4789"/>
    <w:rsid w:val="00DC024F"/>
    <w:rsid w:val="00DC49A5"/>
    <w:rsid w:val="00DC6CBD"/>
    <w:rsid w:val="00DD0E55"/>
    <w:rsid w:val="00DD441C"/>
    <w:rsid w:val="00DD4B0A"/>
    <w:rsid w:val="00DE0DAA"/>
    <w:rsid w:val="00DE5061"/>
    <w:rsid w:val="00DF01F8"/>
    <w:rsid w:val="00DF0D89"/>
    <w:rsid w:val="00E16408"/>
    <w:rsid w:val="00E237B9"/>
    <w:rsid w:val="00E24E3B"/>
    <w:rsid w:val="00E32C62"/>
    <w:rsid w:val="00E34E50"/>
    <w:rsid w:val="00E35A51"/>
    <w:rsid w:val="00E4083C"/>
    <w:rsid w:val="00E4719E"/>
    <w:rsid w:val="00E475CD"/>
    <w:rsid w:val="00E53F75"/>
    <w:rsid w:val="00E60C0B"/>
    <w:rsid w:val="00E62C18"/>
    <w:rsid w:val="00E650A6"/>
    <w:rsid w:val="00E7229F"/>
    <w:rsid w:val="00E7291C"/>
    <w:rsid w:val="00E72A9A"/>
    <w:rsid w:val="00E73EF6"/>
    <w:rsid w:val="00E82C18"/>
    <w:rsid w:val="00E8361E"/>
    <w:rsid w:val="00E86725"/>
    <w:rsid w:val="00E87501"/>
    <w:rsid w:val="00E918F7"/>
    <w:rsid w:val="00E9243F"/>
    <w:rsid w:val="00E92C57"/>
    <w:rsid w:val="00EA1B27"/>
    <w:rsid w:val="00EB0343"/>
    <w:rsid w:val="00EB1651"/>
    <w:rsid w:val="00EB5384"/>
    <w:rsid w:val="00EB700F"/>
    <w:rsid w:val="00EBEECA"/>
    <w:rsid w:val="00EC0987"/>
    <w:rsid w:val="00EC4248"/>
    <w:rsid w:val="00ED4386"/>
    <w:rsid w:val="00ED70F9"/>
    <w:rsid w:val="00ED79AA"/>
    <w:rsid w:val="00EE0D0B"/>
    <w:rsid w:val="00EE1581"/>
    <w:rsid w:val="00EE5875"/>
    <w:rsid w:val="00F000AA"/>
    <w:rsid w:val="00F02441"/>
    <w:rsid w:val="00F0452A"/>
    <w:rsid w:val="00F046FF"/>
    <w:rsid w:val="00F1327C"/>
    <w:rsid w:val="00F233AA"/>
    <w:rsid w:val="00F24DB1"/>
    <w:rsid w:val="00F359E0"/>
    <w:rsid w:val="00F37C16"/>
    <w:rsid w:val="00F41BF5"/>
    <w:rsid w:val="00F42526"/>
    <w:rsid w:val="00F4565C"/>
    <w:rsid w:val="00F46B2C"/>
    <w:rsid w:val="00F609B0"/>
    <w:rsid w:val="00F62ADE"/>
    <w:rsid w:val="00F64835"/>
    <w:rsid w:val="00F64982"/>
    <w:rsid w:val="00F668B6"/>
    <w:rsid w:val="00F7129B"/>
    <w:rsid w:val="00F73719"/>
    <w:rsid w:val="00F7390D"/>
    <w:rsid w:val="00F74613"/>
    <w:rsid w:val="00F75470"/>
    <w:rsid w:val="00F75741"/>
    <w:rsid w:val="00F76F0C"/>
    <w:rsid w:val="00F77780"/>
    <w:rsid w:val="00F80472"/>
    <w:rsid w:val="00F91167"/>
    <w:rsid w:val="00FA0ED5"/>
    <w:rsid w:val="00FA1F3E"/>
    <w:rsid w:val="00FA20A4"/>
    <w:rsid w:val="00FA2BEB"/>
    <w:rsid w:val="00FA6FC5"/>
    <w:rsid w:val="00FB46A5"/>
    <w:rsid w:val="00FB74E3"/>
    <w:rsid w:val="00FD19F2"/>
    <w:rsid w:val="00FD1D6A"/>
    <w:rsid w:val="00FD4E04"/>
    <w:rsid w:val="00FE072A"/>
    <w:rsid w:val="00FE0D41"/>
    <w:rsid w:val="00FE27FD"/>
    <w:rsid w:val="00FF0AA2"/>
    <w:rsid w:val="00FF2D16"/>
    <w:rsid w:val="00FF3E54"/>
    <w:rsid w:val="00FF4695"/>
    <w:rsid w:val="00FF51E1"/>
    <w:rsid w:val="013A430A"/>
    <w:rsid w:val="0342E074"/>
    <w:rsid w:val="04AE7DBE"/>
    <w:rsid w:val="05ED8D48"/>
    <w:rsid w:val="0700D2B5"/>
    <w:rsid w:val="087CBC86"/>
    <w:rsid w:val="0A85E48D"/>
    <w:rsid w:val="0A8BC216"/>
    <w:rsid w:val="0B6B4124"/>
    <w:rsid w:val="0DB1B7A2"/>
    <w:rsid w:val="0E17A841"/>
    <w:rsid w:val="10871D39"/>
    <w:rsid w:val="12140E4E"/>
    <w:rsid w:val="148C915D"/>
    <w:rsid w:val="14A39F93"/>
    <w:rsid w:val="17C0CF99"/>
    <w:rsid w:val="18503A05"/>
    <w:rsid w:val="18BF95DF"/>
    <w:rsid w:val="19D77EE9"/>
    <w:rsid w:val="1B5A50CC"/>
    <w:rsid w:val="2070968A"/>
    <w:rsid w:val="23C55CD8"/>
    <w:rsid w:val="249B9A8E"/>
    <w:rsid w:val="25653EE3"/>
    <w:rsid w:val="25821484"/>
    <w:rsid w:val="26AB5E41"/>
    <w:rsid w:val="26EB13BC"/>
    <w:rsid w:val="26EF374F"/>
    <w:rsid w:val="280A75A0"/>
    <w:rsid w:val="28AB1A34"/>
    <w:rsid w:val="2BF5844F"/>
    <w:rsid w:val="2DFB7A9F"/>
    <w:rsid w:val="2E9BBA0E"/>
    <w:rsid w:val="30241C16"/>
    <w:rsid w:val="336C5FA2"/>
    <w:rsid w:val="34490EDD"/>
    <w:rsid w:val="348ECB43"/>
    <w:rsid w:val="35EA744A"/>
    <w:rsid w:val="35F30AD9"/>
    <w:rsid w:val="36D5AE3C"/>
    <w:rsid w:val="37E60EED"/>
    <w:rsid w:val="38EBE55E"/>
    <w:rsid w:val="3AFD7AB8"/>
    <w:rsid w:val="3B1A4013"/>
    <w:rsid w:val="3BE9993D"/>
    <w:rsid w:val="3C19435A"/>
    <w:rsid w:val="405EF6E9"/>
    <w:rsid w:val="410C60D8"/>
    <w:rsid w:val="42E1FB0E"/>
    <w:rsid w:val="43C9621B"/>
    <w:rsid w:val="47074F54"/>
    <w:rsid w:val="4A61E358"/>
    <w:rsid w:val="4D05D25E"/>
    <w:rsid w:val="4E408A1C"/>
    <w:rsid w:val="4F9C2F80"/>
    <w:rsid w:val="4FE9D327"/>
    <w:rsid w:val="513A1535"/>
    <w:rsid w:val="5183AEBF"/>
    <w:rsid w:val="549AA6E0"/>
    <w:rsid w:val="553B5C9B"/>
    <w:rsid w:val="56C3E390"/>
    <w:rsid w:val="58D421A3"/>
    <w:rsid w:val="59ABE3AB"/>
    <w:rsid w:val="5A283B66"/>
    <w:rsid w:val="5B00BC80"/>
    <w:rsid w:val="5B7F13FC"/>
    <w:rsid w:val="61A96BA9"/>
    <w:rsid w:val="636DB1FF"/>
    <w:rsid w:val="6471DD15"/>
    <w:rsid w:val="64C835B7"/>
    <w:rsid w:val="656397C6"/>
    <w:rsid w:val="684C11AD"/>
    <w:rsid w:val="6A0282F1"/>
    <w:rsid w:val="6B76347B"/>
    <w:rsid w:val="6B87D81B"/>
    <w:rsid w:val="6C08FEB3"/>
    <w:rsid w:val="6D05BC54"/>
    <w:rsid w:val="6D76BA88"/>
    <w:rsid w:val="7003715A"/>
    <w:rsid w:val="719A6D57"/>
    <w:rsid w:val="74D1138D"/>
    <w:rsid w:val="75503654"/>
    <w:rsid w:val="79426E6B"/>
    <w:rsid w:val="7C11E8FB"/>
    <w:rsid w:val="7C272549"/>
    <w:rsid w:val="7C897CC0"/>
    <w:rsid w:val="7EB6C9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C61CDF"/>
  <w15:docId w15:val="{AC3B19E6-A8D9-4C87-9528-88CD80D63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1D02"/>
    <w:rPr>
      <w:sz w:val="24"/>
      <w:szCs w:val="24"/>
    </w:rPr>
  </w:style>
  <w:style w:type="paragraph" w:styleId="berschrift1">
    <w:name w:val="heading 1"/>
    <w:basedOn w:val="Standard"/>
    <w:next w:val="Standard"/>
    <w:link w:val="berschrift1Zchn"/>
    <w:qFormat/>
    <w:locked/>
    <w:rsid w:val="0036367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uiPriority w:val="99"/>
    <w:qFormat/>
    <w:rsid w:val="004E1D02"/>
    <w:pPr>
      <w:spacing w:before="100" w:beforeAutospacing="1" w:after="100" w:afterAutospacing="1"/>
      <w:outlineLvl w:val="1"/>
    </w:pPr>
    <w:rPr>
      <w:rFonts w:ascii="Arial" w:hAnsi="Arial" w:cs="Arial"/>
      <w:b/>
      <w:bCs/>
      <w:color w:val="000000"/>
      <w:sz w:val="30"/>
      <w:szCs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styleId="Erwhnung">
    <w:name w:val="Mention"/>
    <w:basedOn w:val="Absatz-Standardschriftart"/>
    <w:uiPriority w:val="99"/>
    <w:unhideWhenUsed/>
    <w:rsid w:val="004B5B8F"/>
    <w:rPr>
      <w:color w:val="2B579A"/>
      <w:shd w:val="clear" w:color="auto" w:fill="E1DFDD"/>
    </w:rPr>
  </w:style>
  <w:style w:type="table" w:customStyle="1" w:styleId="TableNormal10">
    <w:name w:val="Table Normal10"/>
    <w:uiPriority w:val="99"/>
    <w:semiHidden/>
    <w:unhideWhenUsed/>
    <w:tblPr>
      <w:tblInd w:w="0" w:type="dxa"/>
      <w:tblCellMar>
        <w:top w:w="0" w:type="dxa"/>
        <w:left w:w="108" w:type="dxa"/>
        <w:bottom w:w="0" w:type="dxa"/>
        <w:right w:w="108" w:type="dxa"/>
      </w:tblCellMar>
    </w:tblPr>
  </w:style>
  <w:style w:type="paragraph" w:styleId="Kommentartext">
    <w:name w:val="annotation text"/>
    <w:basedOn w:val="Standard"/>
    <w:link w:val="KommentartextZchn1"/>
    <w:uiPriority w:val="99"/>
    <w:unhideWhenUsed/>
    <w:rsid w:val="00CA6D4C"/>
    <w:rPr>
      <w:sz w:val="20"/>
      <w:szCs w:val="20"/>
    </w:rPr>
  </w:style>
  <w:style w:type="character" w:customStyle="1" w:styleId="KommentartextZchn1">
    <w:name w:val="Kommentartext Zchn1"/>
    <w:basedOn w:val="Absatz-Standardschriftart"/>
    <w:link w:val="Kommentartext"/>
    <w:uiPriority w:val="99"/>
    <w:rsid w:val="00CA6D4C"/>
    <w:rPr>
      <w:sz w:val="20"/>
      <w:szCs w:val="20"/>
    </w:rPr>
  </w:style>
  <w:style w:type="paragraph" w:styleId="Kommentarthema">
    <w:name w:val="annotation subject"/>
    <w:basedOn w:val="Kommentartext"/>
    <w:next w:val="Kommentartext"/>
    <w:link w:val="KommentarthemaZchn1"/>
    <w:uiPriority w:val="99"/>
    <w:semiHidden/>
    <w:unhideWhenUsed/>
    <w:rsid w:val="00CA6D4C"/>
    <w:rPr>
      <w:b/>
      <w:bCs/>
    </w:rPr>
  </w:style>
  <w:style w:type="paragraph" w:styleId="StandardWeb">
    <w:name w:val="Normal (Web)"/>
    <w:basedOn w:val="Standard"/>
    <w:uiPriority w:val="99"/>
    <w:rsid w:val="004E1D02"/>
    <w:pPr>
      <w:spacing w:before="100" w:beforeAutospacing="1" w:after="100" w:afterAutospacing="1"/>
    </w:pPr>
    <w:rPr>
      <w:color w:val="000000"/>
    </w:rPr>
  </w:style>
  <w:style w:type="character" w:styleId="Hyperlink">
    <w:name w:val="Hyperlink"/>
    <w:basedOn w:val="Absatz-Standardschriftart"/>
    <w:uiPriority w:val="99"/>
    <w:rsid w:val="004E1D02"/>
    <w:rPr>
      <w:rFonts w:cs="Times New Roman"/>
      <w:color w:val="0000FF"/>
      <w:u w:val="single"/>
    </w:rPr>
  </w:style>
  <w:style w:type="character" w:customStyle="1" w:styleId="KommentarthemaZchn1">
    <w:name w:val="Kommentarthema Zchn1"/>
    <w:basedOn w:val="KommentartextZchn1"/>
    <w:link w:val="Kommentarthema"/>
    <w:uiPriority w:val="99"/>
    <w:semiHidden/>
    <w:rsid w:val="00CA6D4C"/>
    <w:rPr>
      <w:b/>
      <w:bCs/>
      <w:sz w:val="20"/>
      <w:szCs w:val="20"/>
    </w:rPr>
  </w:style>
  <w:style w:type="paragraph" w:customStyle="1" w:styleId="affiliation">
    <w:name w:val="affiliation"/>
    <w:basedOn w:val="Standard"/>
    <w:uiPriority w:val="99"/>
    <w:rsid w:val="004E1D02"/>
    <w:rPr>
      <w:color w:val="000000"/>
    </w:rPr>
  </w:style>
  <w:style w:type="character" w:customStyle="1" w:styleId="ti2">
    <w:name w:val="ti2"/>
    <w:basedOn w:val="Absatz-Standardschriftart"/>
    <w:uiPriority w:val="99"/>
    <w:rsid w:val="004E1D02"/>
    <w:rPr>
      <w:rFonts w:cs="Times New Roman"/>
    </w:rPr>
  </w:style>
  <w:style w:type="character" w:customStyle="1" w:styleId="featuredlinkouts">
    <w:name w:val="featured_linkouts"/>
    <w:basedOn w:val="Absatz-Standardschriftart"/>
    <w:uiPriority w:val="99"/>
    <w:rsid w:val="004E1D02"/>
    <w:rPr>
      <w:rFonts w:cs="Times New Roman"/>
    </w:rPr>
  </w:style>
  <w:style w:type="character" w:customStyle="1" w:styleId="linkbar">
    <w:name w:val="linkbar"/>
    <w:basedOn w:val="Absatz-Standardschriftart"/>
    <w:uiPriority w:val="99"/>
    <w:rsid w:val="004E1D02"/>
    <w:rPr>
      <w:rFonts w:cs="Times New Roman"/>
    </w:rPr>
  </w:style>
  <w:style w:type="character" w:styleId="BesuchterLink">
    <w:name w:val="FollowedHyperlink"/>
    <w:basedOn w:val="Absatz-Standardschriftart"/>
    <w:uiPriority w:val="99"/>
    <w:rsid w:val="004E1D02"/>
    <w:rPr>
      <w:rFonts w:cs="Times New Roman"/>
      <w:color w:val="800080"/>
      <w:u w:val="single"/>
    </w:rPr>
  </w:style>
  <w:style w:type="paragraph" w:styleId="berarbeitung">
    <w:name w:val="Revision"/>
    <w:hidden/>
    <w:uiPriority w:val="99"/>
    <w:semiHidden/>
    <w:rsid w:val="00E53F75"/>
    <w:rPr>
      <w:sz w:val="24"/>
      <w:szCs w:val="24"/>
    </w:rPr>
  </w:style>
  <w:style w:type="paragraph" w:styleId="Listenabsatz">
    <w:name w:val="List Paragraph"/>
    <w:basedOn w:val="Standard"/>
    <w:uiPriority w:val="34"/>
    <w:qFormat/>
    <w:rsid w:val="00435583"/>
    <w:pPr>
      <w:ind w:left="720"/>
      <w:contextualSpacing/>
    </w:pPr>
  </w:style>
  <w:style w:type="character" w:styleId="NichtaufgelsteErwhnung">
    <w:name w:val="Unresolved Mention"/>
    <w:basedOn w:val="Absatz-Standardschriftart"/>
    <w:uiPriority w:val="99"/>
    <w:semiHidden/>
    <w:unhideWhenUsed/>
    <w:rsid w:val="00714858"/>
    <w:rPr>
      <w:color w:val="605E5C"/>
      <w:shd w:val="clear" w:color="auto" w:fill="E1DFDD"/>
    </w:rPr>
  </w:style>
  <w:style w:type="character" w:customStyle="1" w:styleId="CommentReference1">
    <w:name w:val="Comment Reference1"/>
    <w:basedOn w:val="Absatz-Standardschriftart"/>
    <w:uiPriority w:val="99"/>
    <w:semiHidden/>
    <w:unhideWhenUsed/>
    <w:rsid w:val="00E16408"/>
    <w:rPr>
      <w:sz w:val="16"/>
      <w:szCs w:val="16"/>
    </w:rPr>
  </w:style>
  <w:style w:type="character" w:customStyle="1" w:styleId="berschrift2Zchn">
    <w:name w:val="Überschrift 2 Zchn"/>
    <w:basedOn w:val="Absatz-Standardschriftart"/>
    <w:uiPriority w:val="99"/>
    <w:semiHidden/>
    <w:locked/>
    <w:rsid w:val="00130792"/>
    <w:rPr>
      <w:rFonts w:ascii="Cambria" w:hAnsi="Cambria" w:cs="Times New Roman"/>
      <w:b/>
      <w:bCs/>
      <w:i/>
      <w:iCs/>
      <w:sz w:val="28"/>
      <w:szCs w:val="28"/>
    </w:rPr>
  </w:style>
  <w:style w:type="character" w:customStyle="1" w:styleId="TextkrperZchn">
    <w:name w:val="Textkörper Zchn"/>
    <w:basedOn w:val="Absatz-Standardschriftart"/>
    <w:uiPriority w:val="99"/>
    <w:semiHidden/>
    <w:locked/>
    <w:rsid w:val="00130792"/>
    <w:rPr>
      <w:rFonts w:cs="Times New Roman"/>
      <w:sz w:val="24"/>
      <w:szCs w:val="24"/>
    </w:rPr>
  </w:style>
  <w:style w:type="character" w:customStyle="1" w:styleId="Textkrper2Zchn">
    <w:name w:val="Textkörper 2 Zchn"/>
    <w:basedOn w:val="Absatz-Standardschriftart"/>
    <w:uiPriority w:val="99"/>
    <w:semiHidden/>
    <w:locked/>
    <w:rsid w:val="00130792"/>
    <w:rPr>
      <w:rFonts w:cs="Times New Roman"/>
      <w:sz w:val="24"/>
      <w:szCs w:val="24"/>
    </w:rPr>
  </w:style>
  <w:style w:type="character" w:customStyle="1" w:styleId="SprechblasentextZchn">
    <w:name w:val="Sprechblasentext Zchn"/>
    <w:basedOn w:val="Absatz-Standardschriftart"/>
    <w:uiPriority w:val="99"/>
    <w:semiHidden/>
    <w:locked/>
    <w:rsid w:val="00130792"/>
    <w:rPr>
      <w:rFonts w:cs="Times New Roman"/>
      <w:sz w:val="2"/>
    </w:rPr>
  </w:style>
  <w:style w:type="character" w:customStyle="1" w:styleId="TitelZchn">
    <w:name w:val="Titel Zchn"/>
    <w:basedOn w:val="Absatz-Standardschriftart"/>
    <w:uiPriority w:val="99"/>
    <w:locked/>
    <w:rsid w:val="00130792"/>
    <w:rPr>
      <w:rFonts w:ascii="Lucida Sans Unicode" w:hAnsi="Lucida Sans Unicode" w:cs="Times New Roman"/>
      <w:color w:val="343434"/>
      <w:spacing w:val="5"/>
      <w:kern w:val="28"/>
      <w:sz w:val="52"/>
      <w:szCs w:val="52"/>
    </w:rPr>
  </w:style>
  <w:style w:type="character" w:customStyle="1" w:styleId="KopfzeileZchn">
    <w:name w:val="Kopfzeile Zchn"/>
    <w:basedOn w:val="Absatz-Standardschriftart"/>
    <w:uiPriority w:val="99"/>
    <w:semiHidden/>
    <w:locked/>
    <w:rsid w:val="00130792"/>
    <w:rPr>
      <w:rFonts w:cs="Times New Roman"/>
      <w:sz w:val="24"/>
      <w:szCs w:val="24"/>
    </w:rPr>
  </w:style>
  <w:style w:type="character" w:customStyle="1" w:styleId="FuzeileZchn">
    <w:name w:val="Fußzeile Zchn"/>
    <w:basedOn w:val="Absatz-Standardschriftart"/>
    <w:uiPriority w:val="99"/>
    <w:locked/>
    <w:rsid w:val="00130792"/>
    <w:rPr>
      <w:rFonts w:cs="Times New Roman"/>
      <w:sz w:val="24"/>
      <w:szCs w:val="24"/>
    </w:rPr>
  </w:style>
  <w:style w:type="character" w:customStyle="1" w:styleId="KommentartextZchn">
    <w:name w:val="Kommentartext Zchn"/>
    <w:basedOn w:val="Absatz-Standardschriftart"/>
    <w:uiPriority w:val="99"/>
    <w:rsid w:val="00130792"/>
    <w:rPr>
      <w:sz w:val="20"/>
      <w:szCs w:val="20"/>
    </w:rPr>
  </w:style>
  <w:style w:type="character" w:customStyle="1" w:styleId="KommentarthemaZchn">
    <w:name w:val="Kommentarthema Zchn"/>
    <w:basedOn w:val="KommentartextZchn"/>
    <w:uiPriority w:val="99"/>
    <w:semiHidden/>
    <w:rsid w:val="00130792"/>
    <w:rPr>
      <w:b/>
      <w:bCs/>
      <w:sz w:val="20"/>
      <w:szCs w:val="20"/>
    </w:rPr>
  </w:style>
  <w:style w:type="character" w:styleId="Kommentarzeichen">
    <w:name w:val="annotation reference"/>
    <w:basedOn w:val="Absatz-Standardschriftart"/>
    <w:uiPriority w:val="99"/>
    <w:semiHidden/>
    <w:unhideWhenUsed/>
    <w:rPr>
      <w:sz w:val="16"/>
      <w:szCs w:val="16"/>
    </w:rPr>
  </w:style>
  <w:style w:type="character" w:customStyle="1" w:styleId="berschrift1Zchn">
    <w:name w:val="Überschrift 1 Zchn"/>
    <w:basedOn w:val="Absatz-Standardschriftart"/>
    <w:link w:val="berschrift1"/>
    <w:rsid w:val="00363678"/>
    <w:rPr>
      <w:rFonts w:asciiTheme="majorHAnsi" w:eastAsiaTheme="majorEastAsia" w:hAnsiTheme="majorHAnsi" w:cstheme="majorBidi"/>
      <w:color w:val="365F91" w:themeColor="accent1" w:themeShade="BF"/>
      <w:sz w:val="32"/>
      <w:szCs w:val="32"/>
    </w:rPr>
  </w:style>
  <w:style w:type="paragraph" w:styleId="Kopfzeile">
    <w:name w:val="header"/>
    <w:basedOn w:val="Standard"/>
    <w:link w:val="KopfzeileZchn1"/>
    <w:uiPriority w:val="99"/>
    <w:unhideWhenUsed/>
    <w:rsid w:val="00A84224"/>
    <w:pPr>
      <w:tabs>
        <w:tab w:val="center" w:pos="4680"/>
        <w:tab w:val="right" w:pos="9360"/>
      </w:tabs>
    </w:pPr>
  </w:style>
  <w:style w:type="character" w:customStyle="1" w:styleId="KopfzeileZchn1">
    <w:name w:val="Kopfzeile Zchn1"/>
    <w:basedOn w:val="Absatz-Standardschriftart"/>
    <w:link w:val="Kopfzeile"/>
    <w:uiPriority w:val="99"/>
    <w:rsid w:val="00A84224"/>
    <w:rPr>
      <w:sz w:val="24"/>
      <w:szCs w:val="24"/>
    </w:rPr>
  </w:style>
  <w:style w:type="paragraph" w:styleId="Fuzeile">
    <w:name w:val="footer"/>
    <w:basedOn w:val="Standard"/>
    <w:link w:val="FuzeileZchn1"/>
    <w:uiPriority w:val="99"/>
    <w:unhideWhenUsed/>
    <w:rsid w:val="00A84224"/>
    <w:pPr>
      <w:tabs>
        <w:tab w:val="center" w:pos="4680"/>
        <w:tab w:val="right" w:pos="9360"/>
      </w:tabs>
    </w:pPr>
  </w:style>
  <w:style w:type="character" w:customStyle="1" w:styleId="FuzeileZchn1">
    <w:name w:val="Fußzeile Zchn1"/>
    <w:basedOn w:val="Absatz-Standardschriftart"/>
    <w:link w:val="Fuzeile"/>
    <w:uiPriority w:val="99"/>
    <w:rsid w:val="00A842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lexikon.doccheck.com/de/Ora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3CF86B-8447-46EA-85BE-687BF39A0769}">
  <we:reference id="WA200010453" version="1.0.0.1" store="Omex" storeType="OMEX"/>
  <we:alternateReferences>
    <we:reference id="WA200010453" version="1.0.0.1" store="WA200010453" storeType="OMEX"/>
  </we:alternateReferences>
  <we:properties>
    <we:property name="claude.fileId" value="&quot;7c49c761-3ac5-4cfe-b7a4-aa20aaaa7b5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SharedWithUsers xmlns="4301684f-1559-4d3f-bfff-e8a8e3893d45">
      <UserInfo>
        <DisplayName/>
        <AccountId xsi:nil="true"/>
        <AccountType/>
      </UserInfo>
    </SharedWithUsers>
    <lcf76f155ced4ddcb4097134ff3c332f xmlns="f346cd05-0f46-482e-b96e-e3a44d77373a">
      <Terms xmlns="http://schemas.microsoft.com/office/infopath/2007/PartnerControls"/>
    </lcf76f155ced4ddcb4097134ff3c332f>
    <TaxCatchAll xmlns="4301684f-1559-4d3f-bfff-e8a8e3893d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7194956963F84CB325FA1B62EF5F57" ma:contentTypeVersion="18" ma:contentTypeDescription="Create a new document." ma:contentTypeScope="" ma:versionID="875e8f8aaf09d8d9100c1f7d684effe7">
  <xsd:schema xmlns:xsd="http://www.w3.org/2001/XMLSchema" xmlns:xs="http://www.w3.org/2001/XMLSchema" xmlns:p="http://schemas.microsoft.com/office/2006/metadata/properties" xmlns:ns2="44a56295-c29e-4898-8136-a54736c65b82" xmlns:ns3="f346cd05-0f46-482e-b96e-e3a44d77373a" xmlns:ns4="4301684f-1559-4d3f-bfff-e8a8e3893d45" targetNamespace="http://schemas.microsoft.com/office/2006/metadata/properties" ma:root="true" ma:fieldsID="b44255f533947abcae651fc960a0b1d8" ns2:_="" ns3:_="" ns4:_="">
    <xsd:import namespace="44a56295-c29e-4898-8136-a54736c65b82"/>
    <xsd:import namespace="f346cd05-0f46-482e-b96e-e3a44d77373a"/>
    <xsd:import namespace="4301684f-1559-4d3f-bfff-e8a8e3893d45"/>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6cd05-0f46-482e-b96e-e3a44d7737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89e71-04cd-405e-9ca3-99e020c1694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01684f-1559-4d3f-bfff-e8a8e3893d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cd8633b-6f02-4a8c-8cf1-4be26ad0fb31}" ma:internalName="TaxCatchAll" ma:showField="CatchAllData" ma:web="4301684f-1559-4d3f-bfff-e8a8e3893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ee89e71-04cd-405e-9ca3-99e020c1694d"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52F82F-35F4-4C8A-BE04-DCF21386D87B}">
  <ds:schemaRefs>
    <ds:schemaRef ds:uri="http://schemas.openxmlformats.org/officeDocument/2006/bibliography"/>
  </ds:schemaRefs>
</ds:datastoreItem>
</file>

<file path=customXml/itemProps2.xml><?xml version="1.0" encoding="utf-8"?>
<ds:datastoreItem xmlns:ds="http://schemas.openxmlformats.org/officeDocument/2006/customXml" ds:itemID="{46CE24E2-AC9D-4CBB-A115-65C54DAA5FBB}">
  <ds:schemaRefs>
    <ds:schemaRef ds:uri="http://schemas.microsoft.com/office/2006/metadata/properties"/>
    <ds:schemaRef ds:uri="http://schemas.microsoft.com/office/infopath/2007/PartnerControls"/>
    <ds:schemaRef ds:uri="44a56295-c29e-4898-8136-a54736c65b82"/>
    <ds:schemaRef ds:uri="4301684f-1559-4d3f-bfff-e8a8e3893d45"/>
    <ds:schemaRef ds:uri="f346cd05-0f46-482e-b96e-e3a44d77373a"/>
  </ds:schemaRefs>
</ds:datastoreItem>
</file>

<file path=customXml/itemProps3.xml><?xml version="1.0" encoding="utf-8"?>
<ds:datastoreItem xmlns:ds="http://schemas.openxmlformats.org/officeDocument/2006/customXml" ds:itemID="{025FCF41-9617-4D7C-9649-103C4651A7F4}"/>
</file>

<file path=customXml/itemProps4.xml><?xml version="1.0" encoding="utf-8"?>
<ds:datastoreItem xmlns:ds="http://schemas.openxmlformats.org/officeDocument/2006/customXml" ds:itemID="{B6AFB08C-64C6-44EB-B71D-CC898E52CF3D}">
  <ds:schemaRefs>
    <ds:schemaRef ds:uri="Microsoft.SharePoint.Taxonomy.ContentTypeSync"/>
  </ds:schemaRefs>
</ds:datastoreItem>
</file>

<file path=customXml/itemProps5.xml><?xml version="1.0" encoding="utf-8"?>
<ds:datastoreItem xmlns:ds="http://schemas.openxmlformats.org/officeDocument/2006/customXml" ds:itemID="{A4E30B70-CE11-47E8-9B41-917B4BAB50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1364</Words>
  <Characters>8598</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9943</CharactersWithSpaces>
  <SharedDoc>false</SharedDoc>
  <HLinks>
    <vt:vector size="12" baseType="variant">
      <vt:variant>
        <vt:i4>589918</vt:i4>
      </vt:variant>
      <vt:variant>
        <vt:i4>0</vt:i4>
      </vt:variant>
      <vt:variant>
        <vt:i4>0</vt:i4>
      </vt:variant>
      <vt:variant>
        <vt:i4>5</vt:i4>
      </vt:variant>
      <vt:variant>
        <vt:lpwstr>https://flexikon.doccheck.com/de/Oral</vt:lpwstr>
      </vt:variant>
      <vt:variant>
        <vt:lpwstr/>
      </vt:variant>
      <vt:variant>
        <vt:i4>1245300</vt:i4>
      </vt:variant>
      <vt:variant>
        <vt:i4>0</vt:i4>
      </vt:variant>
      <vt:variant>
        <vt:i4>0</vt:i4>
      </vt:variant>
      <vt:variant>
        <vt:i4>5</vt:i4>
      </vt:variant>
      <vt:variant>
        <vt:lpwstr>http://www.dgho.de/_cmsdata/_cache/cms_19.html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 Maximilian</dc:creator>
  <cp:keywords/>
  <cp:lastModifiedBy>Moder, Maxie</cp:lastModifiedBy>
  <cp:revision>5</cp:revision>
  <dcterms:created xsi:type="dcterms:W3CDTF">2026-08-28T09:51:00Z</dcterms:created>
  <dcterms:modified xsi:type="dcterms:W3CDTF">2026-09-04T10:05:00Z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60600</vt:r8>
  </property>
  <property fmtid="{D5CDD505-2E9C-101B-9397-08002B2CF9AE}" pid="3" name="MediaServiceImageTags">
    <vt:lpwstr/>
  </property>
  <property fmtid="{D5CDD505-2E9C-101B-9397-08002B2CF9AE}" pid="4" name="ContentTypeId">
    <vt:lpwstr>0x010100F77194956963F84CB325FA1B62EF5F57</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