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6B74F9" w14:paraId="2315EEB9" w14:textId="77777777">
        <w:tc>
          <w:tcPr>
            <w:tcW w:w="9212" w:type="dxa"/>
          </w:tcPr>
          <w:p w14:paraId="59E436C4" w14:textId="6056A3E4" w:rsidR="008E6675" w:rsidRPr="006B74F9" w:rsidRDefault="008E6675" w:rsidP="005638EB">
            <w:pPr>
              <w:rPr>
                <w:rFonts w:ascii="Arial Narrow" w:hAnsi="Arial Narrow"/>
                <w:sz w:val="22"/>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F455E3" w:rsidRPr="006B74F9">
              <w:rPr>
                <w:rFonts w:ascii="Arial Narrow" w:hAnsi="Arial Narrow"/>
                <w:sz w:val="22"/>
              </w:rPr>
              <w:t xml:space="preserve">sowie die </w:t>
            </w:r>
            <w:r w:rsidR="00FD6F33" w:rsidRPr="006B74F9">
              <w:rPr>
                <w:rFonts w:ascii="Arial Narrow" w:hAnsi="Arial Narrow"/>
                <w:sz w:val="22"/>
              </w:rPr>
              <w:t>d</w:t>
            </w:r>
            <w:r w:rsidR="00F455E3" w:rsidRPr="006B74F9">
              <w:rPr>
                <w:rFonts w:ascii="Arial Narrow" w:hAnsi="Arial Narrow"/>
                <w:sz w:val="22"/>
              </w:rPr>
              <w:t>eutsche Gesellschaft für Infektiologie e. V. vorformuliert.</w:t>
            </w:r>
          </w:p>
        </w:tc>
      </w:tr>
    </w:tbl>
    <w:p w14:paraId="1B73E9CE" w14:textId="77777777" w:rsidR="008E6675" w:rsidRPr="006B74F9"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2B07A6C9" w:rsidR="008E6675" w:rsidRPr="007F255B" w:rsidRDefault="00282D25" w:rsidP="005638EB">
            <w:pPr>
              <w:rPr>
                <w:rFonts w:ascii="Arial Narrow" w:hAnsi="Arial Narrow"/>
                <w:color w:val="00B050"/>
                <w:sz w:val="22"/>
              </w:rPr>
            </w:pPr>
            <w:r w:rsidRPr="004D4BBB">
              <w:rPr>
                <w:rFonts w:ascii="Arial Narrow" w:hAnsi="Arial Narrow"/>
                <w:sz w:val="22"/>
              </w:rPr>
              <w:t>Cefiderocol</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0022DA49" w:rsidR="008E6675" w:rsidRPr="00D2313F" w:rsidRDefault="002240B3" w:rsidP="005638EB">
            <w:pPr>
              <w:rPr>
                <w:rFonts w:ascii="Arial Narrow" w:hAnsi="Arial Narrow"/>
                <w:sz w:val="22"/>
              </w:rPr>
            </w:pPr>
            <w:r w:rsidRPr="00D2313F">
              <w:rPr>
                <w:rFonts w:ascii="Arial Narrow" w:hAnsi="Arial Narrow"/>
                <w:sz w:val="22"/>
              </w:rPr>
              <w:t>Fetcroja®</w:t>
            </w:r>
            <w:r w:rsidR="00EE3FC0" w:rsidRPr="00D2313F">
              <w:rPr>
                <w:rFonts w:ascii="Arial Narrow" w:hAnsi="Arial Narrow"/>
                <w:sz w:val="22"/>
              </w:rPr>
              <w:t xml:space="preserve"> 1 g Infusionslösungskonzentrat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08513A75" w:rsidR="004C4F82" w:rsidRPr="00BA14F7"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388EA038"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8B2153">
              <w:rPr>
                <w:rFonts w:ascii="Arial Narrow" w:hAnsi="Arial Narrow"/>
                <w:b/>
                <w:sz w:val="22"/>
              </w:rPr>
              <w:t>5</w:t>
            </w:r>
            <w:r w:rsidR="006B0122">
              <w:rPr>
                <w:rFonts w:ascii="Arial Narrow" w:hAnsi="Arial Narrow"/>
                <w:b/>
                <w:sz w:val="22"/>
              </w:rPr>
              <w:t xml:space="preserve"> </w:t>
            </w:r>
            <w:r w:rsidR="00DC6CBD">
              <w:rPr>
                <w:rFonts w:ascii="Arial Narrow" w:hAnsi="Arial Narrow"/>
                <w:b/>
                <w:sz w:val="22"/>
              </w:rPr>
              <w:t>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7AE10EEC" w:rsidR="00492AB4" w:rsidRPr="00BA14F7" w:rsidRDefault="00ED79AA" w:rsidP="00DB14F4">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2A945E93" w14:textId="77777777" w:rsidR="00584225" w:rsidRPr="00996E48" w:rsidRDefault="00584225" w:rsidP="00584225">
            <w:pPr>
              <w:spacing w:before="120"/>
              <w:jc w:val="both"/>
              <w:rPr>
                <w:rFonts w:ascii="Arial Narrow" w:hAnsi="Arial Narrow"/>
                <w:sz w:val="22"/>
                <w:szCs w:val="22"/>
                <w:u w:val="single"/>
              </w:rPr>
            </w:pPr>
            <w:r w:rsidRPr="00996E48">
              <w:rPr>
                <w:rFonts w:ascii="Arial Narrow" w:hAnsi="Arial Narrow"/>
                <w:sz w:val="22"/>
                <w:szCs w:val="22"/>
                <w:u w:val="single"/>
              </w:rPr>
              <w:t>Wirkmechanismus</w:t>
            </w:r>
          </w:p>
          <w:p w14:paraId="18FCE500" w14:textId="767EAAC4" w:rsidR="00584225" w:rsidRPr="00996E48" w:rsidRDefault="00584225" w:rsidP="00584225">
            <w:pPr>
              <w:spacing w:before="120"/>
              <w:jc w:val="both"/>
              <w:rPr>
                <w:rFonts w:ascii="Arial" w:hAnsi="Arial" w:cs="Arial"/>
                <w:sz w:val="28"/>
                <w:szCs w:val="28"/>
              </w:rPr>
            </w:pPr>
            <w:r w:rsidRPr="00996E48">
              <w:rPr>
                <w:rFonts w:ascii="Arial Narrow" w:hAnsi="Arial Narrow"/>
                <w:sz w:val="22"/>
                <w:szCs w:val="22"/>
              </w:rPr>
              <w:t>Multiresistente, gramnegative Bakterien (Multi-Drug-Resistant, MDR) können schwere Infektionen mit hoher Morbidität und Letalität verursachen, da routinemäßig eingesetzte und klinisch etablierte Antibiotika häufig nicht mehr ausreichend wirksam sind.</w:t>
            </w:r>
            <w:r w:rsidRPr="00996E48">
              <w:rPr>
                <w:rFonts w:ascii="Arial" w:hAnsi="Arial" w:cs="Arial"/>
                <w:sz w:val="28"/>
                <w:szCs w:val="28"/>
              </w:rPr>
              <w:t xml:space="preserve"> </w:t>
            </w:r>
            <w:r w:rsidRPr="00996E48">
              <w:rPr>
                <w:rFonts w:ascii="Arial Narrow" w:hAnsi="Arial Narrow"/>
                <w:sz w:val="22"/>
                <w:szCs w:val="22"/>
              </w:rPr>
              <w:t>Besonders kritisch wird der Resistenzanstieg gegenüber Carbapenem-Antibiotika bewertet, die lange Zeit als sichere (oftmals letzte) Option bei schweren Infektionen durch gramnegative Erreger galten.</w:t>
            </w:r>
          </w:p>
          <w:p w14:paraId="38EA024C" w14:textId="759FEC3C"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t>Cefiderocol ist das erste und bisher einzige zugelassene Siderophor-Cephalosporin und wird aufgrund seiner chemischen Struktur aktiv über das bakterielle Eisen-Transportsystem in das Bakterium aufgenommen, wo es deren Zellwandsynthese hemmt. Durch diesen einzigartigen Zelleintrittsmechanismus ist die Aktivität von Cefiderocol unabhängig von Resistenzmechanismen durch Porinkanalmutationen und Überexpression von Effluxpumpen.</w:t>
            </w:r>
          </w:p>
          <w:p w14:paraId="0466FA86" w14:textId="4AFA0580"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t xml:space="preserve">Die chemische Struktur bedingt eine hohe Stabilität gegenüber allen bekannten Beta-Laktamasen, inklusive der Serin- und Metallo-Carbapenemasen. Dies verleiht Cefiderocol Aktivität gegen multiresistente gramnegative Pathogene, einschließlich der von der WHO als besonders kritisch und riskant bewerteten Carbapenem-resistenten (CR) Enterobacteriaceae (Enterobacterales), CR </w:t>
            </w:r>
            <w:r w:rsidRPr="00996E48">
              <w:rPr>
                <w:rFonts w:ascii="Arial Narrow" w:hAnsi="Arial Narrow"/>
                <w:i/>
                <w:iCs/>
                <w:sz w:val="22"/>
                <w:szCs w:val="22"/>
              </w:rPr>
              <w:t>Pseudomonas aeruginosa</w:t>
            </w:r>
            <w:r w:rsidRPr="00996E48">
              <w:rPr>
                <w:rFonts w:ascii="Arial Narrow" w:hAnsi="Arial Narrow"/>
                <w:sz w:val="22"/>
                <w:szCs w:val="22"/>
              </w:rPr>
              <w:t xml:space="preserve">, CR </w:t>
            </w:r>
            <w:r w:rsidRPr="00996E48">
              <w:rPr>
                <w:rFonts w:ascii="Arial Narrow" w:hAnsi="Arial Narrow"/>
                <w:i/>
                <w:iCs/>
                <w:sz w:val="22"/>
                <w:szCs w:val="22"/>
              </w:rPr>
              <w:t>Acinetobacter baumannii</w:t>
            </w:r>
            <w:r w:rsidRPr="00996E48">
              <w:rPr>
                <w:rFonts w:ascii="Arial Narrow" w:hAnsi="Arial Narrow"/>
                <w:sz w:val="22"/>
                <w:szCs w:val="22"/>
              </w:rPr>
              <w:t xml:space="preserve"> sowie </w:t>
            </w:r>
            <w:r w:rsidRPr="00996E48">
              <w:rPr>
                <w:rFonts w:ascii="Arial Narrow" w:hAnsi="Arial Narrow"/>
                <w:i/>
                <w:iCs/>
                <w:sz w:val="22"/>
                <w:szCs w:val="22"/>
              </w:rPr>
              <w:t>Stenotrophomonas maltophilia</w:t>
            </w:r>
            <w:r w:rsidRPr="00996E48">
              <w:rPr>
                <w:rFonts w:ascii="Arial Narrow" w:hAnsi="Arial Narrow"/>
                <w:sz w:val="22"/>
                <w:szCs w:val="22"/>
              </w:rPr>
              <w:t>, wobei der Wirkstoff Cefiderocol ein ähnliches Sicherheits- und Verträglichkeitsprofil aufweist wie andere Cephalosporine.</w:t>
            </w:r>
            <w:r w:rsidRPr="00996E48">
              <w:rPr>
                <w:rFonts w:ascii="Arial Narrow" w:hAnsi="Arial Narrow"/>
                <w:sz w:val="22"/>
                <w:szCs w:val="22"/>
                <w:vertAlign w:val="superscript"/>
              </w:rPr>
              <w:t xml:space="preserve"> </w:t>
            </w:r>
          </w:p>
          <w:p w14:paraId="7DA5A325" w14:textId="77777777" w:rsidR="00584225" w:rsidRPr="00996E48" w:rsidRDefault="00584225" w:rsidP="00584225">
            <w:pPr>
              <w:spacing w:before="120"/>
              <w:jc w:val="both"/>
              <w:rPr>
                <w:rFonts w:ascii="Arial Narrow" w:hAnsi="Arial Narrow"/>
                <w:sz w:val="22"/>
                <w:szCs w:val="22"/>
                <w:u w:val="single"/>
              </w:rPr>
            </w:pPr>
            <w:r w:rsidRPr="00996E48">
              <w:rPr>
                <w:rFonts w:ascii="Arial Narrow" w:hAnsi="Arial Narrow"/>
                <w:sz w:val="22"/>
                <w:szCs w:val="22"/>
                <w:u w:val="single"/>
              </w:rPr>
              <w:t>Anwendungsgebiet</w:t>
            </w:r>
          </w:p>
          <w:p w14:paraId="5670B2AF" w14:textId="1B95FE66"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t>Das Arzneimittel Fetcroja mit dem Wirkstoff Cefiderocol wird angewendet bei Erwachsenen zur Behandlung von Infektionen durch aerobe gramnegative Erreger, wenn nur begrenzte Behandlungsmöglichkeiten zur Verfügung stehen (siehe Abschnitte 4.2, 4.4 und 5.1 der Fachinformation). Die offiziellen Leitlinien für den angemessenen Einsatz von Antibiotika sind zu berücksichtigen.</w:t>
            </w:r>
          </w:p>
          <w:p w14:paraId="3C83C14F" w14:textId="77777777"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lastRenderedPageBreak/>
              <w:t>Hinweise zu den Anwendungsgebieten:</w:t>
            </w:r>
          </w:p>
          <w:p w14:paraId="667F096A" w14:textId="680437E8" w:rsidR="00584225" w:rsidRPr="00996E48" w:rsidRDefault="00584225" w:rsidP="00FD6F33">
            <w:pPr>
              <w:spacing w:before="120"/>
              <w:jc w:val="both"/>
              <w:rPr>
                <w:rFonts w:ascii="Arial Narrow" w:hAnsi="Arial Narrow"/>
                <w:sz w:val="22"/>
                <w:szCs w:val="22"/>
              </w:rPr>
            </w:pPr>
            <w:r w:rsidRPr="00996E48">
              <w:rPr>
                <w:rFonts w:ascii="Arial Narrow" w:hAnsi="Arial Narrow"/>
                <w:sz w:val="22"/>
                <w:szCs w:val="22"/>
              </w:rPr>
              <w:t>Cefiderocol hat nur eine schwache oder gar keine Wirkung gegen die meisten grampositiven und anaeroben Erreger. Wenn bekannt ist oder vermutet wird, dass an der Infektion auch solche Erreger beteiligt sind, müssen zusätzliche Antibiotika angewendet werden.</w:t>
            </w:r>
          </w:p>
          <w:p w14:paraId="32990937" w14:textId="77777777" w:rsidR="00584225" w:rsidRPr="00996E48" w:rsidRDefault="00584225" w:rsidP="00584225">
            <w:pPr>
              <w:spacing w:before="120"/>
              <w:rPr>
                <w:rFonts w:ascii="Arial Narrow" w:hAnsi="Arial Narrow"/>
                <w:sz w:val="22"/>
                <w:szCs w:val="22"/>
                <w:u w:val="single"/>
              </w:rPr>
            </w:pPr>
            <w:r w:rsidRPr="00996E48">
              <w:rPr>
                <w:rFonts w:ascii="Arial Narrow" w:hAnsi="Arial Narrow"/>
                <w:sz w:val="22"/>
                <w:szCs w:val="22"/>
                <w:u w:val="single"/>
              </w:rPr>
              <w:t>Evidenzlage</w:t>
            </w:r>
          </w:p>
          <w:p w14:paraId="3403576D" w14:textId="77777777"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t>Die Wirksamkeit und Sicherheit von Cefiderocol wurden im Rahmen der prospektiven randomisierten, doppelblinden, multinationalen, Parallelgruppen-Studie APEKS-cUTI (</w:t>
            </w:r>
            <w:r w:rsidRPr="00996E48">
              <w:rPr>
                <w:rFonts w:ascii="Arial Narrow" w:hAnsi="Arial Narrow"/>
                <w:color w:val="000000"/>
                <w:sz w:val="22"/>
                <w:szCs w:val="22"/>
                <w:shd w:val="clear" w:color="auto" w:fill="FFFFFF"/>
              </w:rPr>
              <w:t>NCT02321800) der</w:t>
            </w:r>
            <w:r w:rsidRPr="00996E48">
              <w:rPr>
                <w:rFonts w:ascii="Arial Narrow" w:hAnsi="Arial Narrow"/>
                <w:sz w:val="22"/>
                <w:szCs w:val="22"/>
              </w:rPr>
              <w:t xml:space="preserve"> Phase 2 und APEKS-NP (</w:t>
            </w:r>
            <w:r w:rsidRPr="00996E48">
              <w:rPr>
                <w:rFonts w:ascii="Arial Narrow" w:hAnsi="Arial Narrow"/>
                <w:color w:val="000000"/>
                <w:sz w:val="22"/>
                <w:szCs w:val="22"/>
                <w:shd w:val="clear" w:color="auto" w:fill="FFFFFF"/>
              </w:rPr>
              <w:t>NCT03032380</w:t>
            </w:r>
            <w:r w:rsidRPr="00996E48">
              <w:rPr>
                <w:rFonts w:ascii="Arial Narrow" w:hAnsi="Arial Narrow"/>
                <w:sz w:val="22"/>
                <w:szCs w:val="22"/>
              </w:rPr>
              <w:t>) der Phase 3 nachgewiesen. Weitere klinische Daten wurden in der randomisierten, offenen, deskriptiven Phase 3 Studie CREDIBLE-CR (</w:t>
            </w:r>
            <w:r w:rsidRPr="00996E48">
              <w:rPr>
                <w:rFonts w:ascii="Arial Narrow" w:hAnsi="Arial Narrow"/>
                <w:color w:val="000000"/>
                <w:sz w:val="22"/>
                <w:szCs w:val="22"/>
                <w:shd w:val="clear" w:color="auto" w:fill="FFFFFF"/>
              </w:rPr>
              <w:t>NCT02714595</w:t>
            </w:r>
            <w:r w:rsidRPr="00996E48">
              <w:rPr>
                <w:rFonts w:ascii="Arial Narrow" w:hAnsi="Arial Narrow"/>
                <w:sz w:val="22"/>
                <w:szCs w:val="22"/>
              </w:rPr>
              <w:t xml:space="preserve">) erhoben. </w:t>
            </w:r>
          </w:p>
          <w:p w14:paraId="7F3DBF45" w14:textId="5FD87E7E" w:rsidR="00584225" w:rsidRPr="00996E48" w:rsidRDefault="00584225" w:rsidP="00584225">
            <w:pPr>
              <w:spacing w:before="120"/>
              <w:jc w:val="both"/>
              <w:rPr>
                <w:rFonts w:ascii="Arial Narrow" w:hAnsi="Arial Narrow"/>
                <w:sz w:val="22"/>
                <w:szCs w:val="22"/>
              </w:rPr>
            </w:pPr>
            <w:r w:rsidRPr="00996E48">
              <w:rPr>
                <w:rFonts w:ascii="Arial Narrow" w:hAnsi="Arial Narrow"/>
                <w:sz w:val="22"/>
                <w:szCs w:val="22"/>
              </w:rPr>
              <w:t>In der Studie APEKS-cUTI wurde das kombinierte klinische und mikrobiologische Ansprechen als primäres Zielkriterium bei 73% der Patienten gegenüber 55% bei der Imipenem-Cilastatin Kontrollgruppe erreicht, mit einem adjustierten Behandlungsunterschied von 18,58% (95% KI 8,23-28,92; p=0,0004) zugunsten Cefiderocol.</w:t>
            </w:r>
          </w:p>
          <w:p w14:paraId="7EDFAFA0" w14:textId="66156752" w:rsidR="00584225" w:rsidRPr="00996E48" w:rsidRDefault="00584225" w:rsidP="00584225">
            <w:pPr>
              <w:pStyle w:val="Kommentartext"/>
              <w:spacing w:before="120"/>
              <w:jc w:val="both"/>
              <w:rPr>
                <w:rFonts w:ascii="Arial Narrow" w:hAnsi="Arial Narrow"/>
                <w:sz w:val="22"/>
                <w:szCs w:val="22"/>
                <w:lang w:val="de-DE"/>
              </w:rPr>
            </w:pPr>
            <w:r w:rsidRPr="00996E48">
              <w:rPr>
                <w:rFonts w:ascii="Arial Narrow" w:hAnsi="Arial Narrow"/>
                <w:sz w:val="22"/>
                <w:szCs w:val="22"/>
                <w:lang w:val="de-DE"/>
              </w:rPr>
              <w:t>Die Phase 3 Studie APEKS-NP erreichte den primären Endpunkt der Nicht-Unterlegenheit für die 14-Tage Gesamtmortalität mit 12,4% für Cefiderocol und 11,6% bei der Parallelgruppe mit Meropenem.</w:t>
            </w:r>
          </w:p>
          <w:p w14:paraId="66618D2D" w14:textId="0D3125F2" w:rsidR="00584225" w:rsidRPr="00996E48" w:rsidRDefault="00584225" w:rsidP="00584225">
            <w:pPr>
              <w:pStyle w:val="Kommentartext"/>
              <w:spacing w:before="120"/>
              <w:jc w:val="both"/>
              <w:rPr>
                <w:rFonts w:ascii="Arial Narrow" w:hAnsi="Arial Narrow"/>
                <w:sz w:val="22"/>
                <w:szCs w:val="22"/>
                <w:lang w:val="de-DE"/>
              </w:rPr>
            </w:pPr>
            <w:r w:rsidRPr="00996E48">
              <w:rPr>
                <w:rFonts w:ascii="Arial Narrow" w:hAnsi="Arial Narrow"/>
                <w:sz w:val="22"/>
                <w:szCs w:val="22"/>
                <w:lang w:val="de-DE"/>
              </w:rPr>
              <w:t>Die Studie CREDIBLE-CR belegt die klinische Wirksamkeit und Sicherheit von Cefiderocol in der Behandlung von schweren Infektionen durch CR GN-Erreger in einer heterogenen Patientenpopulation mit schweren Grunderkrankungen. Die klinische Heilung (primäres Zielkriterium der Studie) betrug in der Cefiderocol-Gruppe 53% und in der BAT- (best available therapy) Gruppe 50%. Indikationsspezifische Heilungsraten bei HAP, VAP oder HCAP lagen bei 50% (CFDC) vs. 53% (BAT), bei Blutstrominfektionen (BSI) oder Sepsis bei 43% (CFDC) vs. 43% (BAT) und bei cUTI 71% (CFDC) vs. 60% (BAT).</w:t>
            </w:r>
          </w:p>
          <w:p w14:paraId="4771E185" w14:textId="525F036C" w:rsidR="00584225" w:rsidRPr="00996E48" w:rsidRDefault="00584225" w:rsidP="00584225">
            <w:pPr>
              <w:spacing w:before="120"/>
              <w:jc w:val="both"/>
              <w:rPr>
                <w:rFonts w:ascii="Arial Narrow" w:hAnsi="Arial Narrow"/>
                <w:sz w:val="22"/>
                <w:szCs w:val="22"/>
                <w:vertAlign w:val="superscript"/>
              </w:rPr>
            </w:pPr>
            <w:r w:rsidRPr="00996E48">
              <w:rPr>
                <w:rFonts w:ascii="Arial Narrow" w:hAnsi="Arial Narrow"/>
                <w:sz w:val="22"/>
                <w:szCs w:val="22"/>
              </w:rPr>
              <w:t>Die bislang vorliegenden Ergebnisse der klinischen Entwicklung zeigen, dass Cefiderocol eine wirksame Therapie zur Behandlung von Patienten mit Infektionen ist, die durch gramnegative Pathogene verursacht werden. Internationale Surveillance-Studien belegen für Cefiderocol eine hohe </w:t>
            </w:r>
            <w:r w:rsidRPr="00996E48" w:rsidDel="00EA20EC">
              <w:rPr>
                <w:rFonts w:ascii="Arial Narrow" w:hAnsi="Arial Narrow"/>
                <w:i/>
                <w:iCs/>
                <w:sz w:val="22"/>
                <w:szCs w:val="22"/>
              </w:rPr>
              <w:t>in</w:t>
            </w:r>
            <w:r w:rsidRPr="00996E48">
              <w:rPr>
                <w:rFonts w:ascii="Arial Narrow" w:hAnsi="Arial Narrow"/>
                <w:i/>
                <w:iCs/>
                <w:sz w:val="22"/>
                <w:szCs w:val="22"/>
              </w:rPr>
              <w:t>-vitro</w:t>
            </w:r>
            <w:r w:rsidRPr="00996E48">
              <w:rPr>
                <w:rFonts w:ascii="Arial Narrow" w:hAnsi="Arial Narrow"/>
                <w:sz w:val="22"/>
                <w:szCs w:val="22"/>
              </w:rPr>
              <w:t xml:space="preserve"> Wirksamkeit gegenüber einem breiten Spektrum gramnegativer, aerober Infektionserreger, einschließlich Carbapenem-resistenter Stämme.</w:t>
            </w:r>
          </w:p>
          <w:p w14:paraId="76E593EA" w14:textId="18AC96E5" w:rsidR="00584225" w:rsidRDefault="00584225" w:rsidP="00584225">
            <w:pPr>
              <w:pStyle w:val="Kommentartext"/>
              <w:spacing w:before="120"/>
              <w:jc w:val="both"/>
              <w:rPr>
                <w:rFonts w:ascii="Arial Narrow" w:hAnsi="Arial Narrow"/>
                <w:sz w:val="22"/>
                <w:szCs w:val="22"/>
                <w:lang w:val="de-DE"/>
              </w:rPr>
            </w:pPr>
            <w:r w:rsidRPr="00996E48">
              <w:rPr>
                <w:rFonts w:ascii="Arial Narrow" w:hAnsi="Arial Narrow"/>
                <w:sz w:val="22"/>
                <w:szCs w:val="22"/>
                <w:lang w:val="de-DE"/>
              </w:rPr>
              <w:t>Im Rahmen des weltweiten Compassionate Use Programms bei 160 Patienten und des Early Access Programms bei 853 Patienten konnte gezeigt werden, dass Cefiderocol bei kritisch kranken Patienten mit unterschiedlichen, durch hochresistente Bakterien verursachten Infektionen, wirksam ist, auch dann, wenn andere Therapieoptionen versagt haben.</w:t>
            </w:r>
          </w:p>
          <w:p w14:paraId="793E23C9" w14:textId="40C81990" w:rsidR="00D54BCE" w:rsidRPr="00C86C80" w:rsidRDefault="00D54BCE" w:rsidP="00584225">
            <w:pPr>
              <w:pStyle w:val="Kommentartext"/>
              <w:spacing w:before="120"/>
              <w:jc w:val="both"/>
              <w:rPr>
                <w:rFonts w:ascii="Arial Narrow" w:hAnsi="Arial Narrow"/>
                <w:sz w:val="18"/>
                <w:szCs w:val="18"/>
                <w:u w:val="single"/>
                <w:lang w:val="de-DE"/>
              </w:rPr>
            </w:pPr>
            <w:r w:rsidRPr="00C86C80">
              <w:rPr>
                <w:rFonts w:ascii="Arial Narrow" w:hAnsi="Arial Narrow"/>
                <w:sz w:val="18"/>
                <w:szCs w:val="18"/>
                <w:u w:val="single"/>
                <w:lang w:val="de-DE"/>
              </w:rPr>
              <w:t>Quellen:</w:t>
            </w:r>
          </w:p>
          <w:p w14:paraId="65521D30" w14:textId="77777777" w:rsidR="00CE2122" w:rsidRPr="00CE2122" w:rsidRDefault="00CE2122" w:rsidP="00CE2122">
            <w:pPr>
              <w:pStyle w:val="Listenabsatz"/>
              <w:numPr>
                <w:ilvl w:val="0"/>
                <w:numId w:val="13"/>
              </w:numPr>
              <w:rPr>
                <w:rFonts w:ascii="Arial Narrow" w:hAnsi="Arial Narrow"/>
                <w:sz w:val="14"/>
                <w:szCs w:val="14"/>
              </w:rPr>
            </w:pPr>
            <w:r w:rsidRPr="00CE2122">
              <w:rPr>
                <w:rFonts w:ascii="Arial Narrow" w:hAnsi="Arial Narrow"/>
                <w:sz w:val="14"/>
                <w:szCs w:val="14"/>
              </w:rPr>
              <w:t xml:space="preserve">Fachinformation zu Fetcroja 1g Pulver für ein Konzentrat zur Herstellung einer Infusionslösung (Stand: 03/2023), abrufbar unter: </w:t>
            </w:r>
            <w:hyperlink r:id="rId10" w:history="1">
              <w:r w:rsidRPr="00CE2122">
                <w:rPr>
                  <w:rStyle w:val="Hyperlink"/>
                  <w:rFonts w:ascii="Arial Narrow" w:hAnsi="Arial Narrow"/>
                  <w:sz w:val="14"/>
                  <w:szCs w:val="14"/>
                </w:rPr>
                <w:t>https://www.fachinfo.de/suche/fi/023073</w:t>
              </w:r>
            </w:hyperlink>
          </w:p>
          <w:p w14:paraId="41307A43" w14:textId="59108C0D" w:rsidR="00C86C80" w:rsidRPr="00CE2122"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lang w:val="en-GB"/>
              </w:rPr>
            </w:pPr>
            <w:r w:rsidRPr="00C86C80">
              <w:rPr>
                <w:rFonts w:ascii="Arial Narrow" w:eastAsia="MyriadPro-SemiCn" w:hAnsi="Arial Narrow" w:cs="MyriadPro-SemiCn"/>
                <w:sz w:val="14"/>
                <w:szCs w:val="13"/>
                <w:lang w:val="en-GB"/>
              </w:rPr>
              <w:t xml:space="preserve">Portsmouth S, van Veenhuyzen D et al (2018) Cefiderocol versus imipenem-cilastatin for the treatment of complicated urinary tract infections caused by Gram-negative uropathogens: a phase 2, randomised, double-blind, non-inferiority trial. </w:t>
            </w:r>
            <w:r w:rsidRPr="00CE2122">
              <w:rPr>
                <w:rFonts w:ascii="Arial Narrow" w:eastAsia="MyriadPro-SemiCn" w:hAnsi="Arial Narrow" w:cs="MyriadPro-SemiCn"/>
                <w:sz w:val="14"/>
                <w:szCs w:val="13"/>
                <w:lang w:val="en-GB"/>
              </w:rPr>
              <w:t>Lancet InfectDis18:1319–1328</w:t>
            </w:r>
          </w:p>
          <w:p w14:paraId="7BCF422A" w14:textId="77777777" w:rsidR="00C86C80" w:rsidRPr="00C86C80"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rPr>
            </w:pPr>
            <w:r w:rsidRPr="00C86C80">
              <w:rPr>
                <w:rFonts w:ascii="Arial Narrow" w:eastAsia="MyriadPro-SemiCn" w:hAnsi="Arial Narrow" w:cs="MyriadPro-SemiCn"/>
                <w:sz w:val="14"/>
                <w:szCs w:val="13"/>
                <w:lang w:val="en-GB"/>
              </w:rPr>
              <w:t xml:space="preserve">Wunderink RG, Matsunaga Y et al (2021) Cefiderocol versus high-dose, extended-infusion meropenem for the treatment of Gram-negative nosocomial pneumonia (APEKS-NP): a randomised, double-blind, phase 3, non-inferiority trial. Lancet Infect Dis 21(2):213–225. </w:t>
            </w:r>
            <w:hyperlink r:id="rId11" w:history="1">
              <w:r w:rsidRPr="00C86C80">
                <w:rPr>
                  <w:rStyle w:val="Hyperlink"/>
                  <w:rFonts w:ascii="Arial Narrow" w:eastAsia="MyriadPro-SemiCn" w:hAnsi="Arial Narrow" w:cs="MyriadPro-SemiCn"/>
                  <w:sz w:val="14"/>
                  <w:szCs w:val="13"/>
                  <w:lang w:val="en-GB"/>
                </w:rPr>
                <w:t>https://doi.org/</w:t>
              </w:r>
              <w:r w:rsidRPr="00C86C80">
                <w:rPr>
                  <w:rStyle w:val="Hyperlink"/>
                  <w:rFonts w:ascii="Arial Narrow" w:eastAsia="MyriadPro-SemiCn" w:hAnsi="Arial Narrow" w:cs="MyriadPro-SemiCn"/>
                  <w:sz w:val="14"/>
                  <w:szCs w:val="13"/>
                </w:rPr>
                <w:t>10.1016/S1473-3099(20)30731-3</w:t>
              </w:r>
            </w:hyperlink>
          </w:p>
          <w:p w14:paraId="592A3FB0" w14:textId="77777777" w:rsidR="00C86C80" w:rsidRPr="00C86C80"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rPr>
            </w:pPr>
            <w:r w:rsidRPr="00C86C80">
              <w:rPr>
                <w:rFonts w:ascii="Arial Narrow" w:eastAsia="MyriadPro-SemiCn" w:hAnsi="Arial Narrow" w:cs="MyriadPro-SemiCn"/>
                <w:sz w:val="14"/>
                <w:szCs w:val="13"/>
                <w:lang w:val="en-GB"/>
              </w:rPr>
              <w:t xml:space="preserve">Bassetti M, Echols R et al (2020) Efficacy and safety of cefiderocol or best available therapy for the treatment of serious infections caused by carbapenem-resistant Gram-negative bacteria (CREDIBLECR): a randomised, open-label, multicentre, pathogen-focused, descriptive, phase 3 trial. </w:t>
            </w:r>
            <w:r w:rsidRPr="00C86C80">
              <w:rPr>
                <w:rFonts w:ascii="Arial Narrow" w:eastAsia="MyriadPro-SemiCn" w:hAnsi="Arial Narrow" w:cs="MyriadPro-SemiCn"/>
                <w:sz w:val="14"/>
                <w:szCs w:val="13"/>
              </w:rPr>
              <w:t>Lancet.https://doi.org/10.1016/S1473-3099(20)30796-9</w:t>
            </w:r>
          </w:p>
          <w:p w14:paraId="44DA3BA6" w14:textId="77777777" w:rsidR="00C86C80" w:rsidRPr="00C86C80" w:rsidRDefault="00C86C80" w:rsidP="00C86C80">
            <w:pPr>
              <w:pStyle w:val="Listenabsatz"/>
              <w:numPr>
                <w:ilvl w:val="0"/>
                <w:numId w:val="13"/>
              </w:numPr>
              <w:autoSpaceDE w:val="0"/>
              <w:autoSpaceDN w:val="0"/>
              <w:adjustRightInd w:val="0"/>
              <w:spacing w:before="120"/>
              <w:ind w:left="357" w:hanging="357"/>
              <w:jc w:val="both"/>
              <w:rPr>
                <w:rFonts w:ascii="Arial Narrow" w:eastAsia="MyriadPro-SemiCn" w:hAnsi="Arial Narrow" w:cs="MyriadPro-SemiCn"/>
                <w:sz w:val="14"/>
                <w:szCs w:val="13"/>
              </w:rPr>
            </w:pPr>
            <w:r w:rsidRPr="00C86C80">
              <w:rPr>
                <w:rFonts w:ascii="Arial Narrow" w:eastAsia="MyriadPro-SemiCn" w:hAnsi="Arial Narrow" w:cs="MyriadPro-SemiCn"/>
                <w:sz w:val="14"/>
                <w:szCs w:val="13"/>
                <w:lang w:val="en-GB"/>
              </w:rPr>
              <w:t xml:space="preserve">Delgado-Valverde M (2020) Activity of Cefiderocol against high-risk clones of multidrugresistant enterobacterales, acinetobacter baumannii, pseudomonas aeruginosa and Stenotrophomonas maltophilia. </w:t>
            </w:r>
            <w:r w:rsidRPr="00C86C80">
              <w:rPr>
                <w:rFonts w:ascii="Arial Narrow" w:eastAsia="MyriadPro-SemiCn" w:hAnsi="Arial Narrow" w:cs="MyriadPro-SemiCn"/>
                <w:sz w:val="14"/>
                <w:szCs w:val="13"/>
              </w:rPr>
              <w:t>J Antimicrob Chemother 75(7):1840–1849</w:t>
            </w:r>
          </w:p>
          <w:p w14:paraId="032F1AB0" w14:textId="77777777" w:rsidR="00C86C80" w:rsidRPr="00C86C80" w:rsidRDefault="00C86C80" w:rsidP="00C86C80">
            <w:pPr>
              <w:pStyle w:val="Listenabsatz"/>
              <w:numPr>
                <w:ilvl w:val="0"/>
                <w:numId w:val="13"/>
              </w:numPr>
              <w:autoSpaceDE w:val="0"/>
              <w:autoSpaceDN w:val="0"/>
              <w:adjustRightInd w:val="0"/>
              <w:spacing w:before="120"/>
              <w:ind w:left="357" w:hanging="357"/>
              <w:jc w:val="both"/>
              <w:rPr>
                <w:rFonts w:ascii="Arial Narrow" w:eastAsia="MyriadPro-SemiCn" w:hAnsi="Arial Narrow" w:cs="MyriadPro-SemiCn"/>
                <w:sz w:val="14"/>
                <w:szCs w:val="13"/>
                <w:lang w:val="en-GB"/>
              </w:rPr>
            </w:pPr>
            <w:r w:rsidRPr="00C86C80">
              <w:rPr>
                <w:rFonts w:ascii="Arial Narrow" w:eastAsia="MyriadPro-SemiCn" w:hAnsi="Arial Narrow" w:cs="MyriadPro-SemiCn"/>
                <w:sz w:val="14"/>
                <w:szCs w:val="13"/>
                <w:lang w:val="en-GB"/>
              </w:rPr>
              <w:t>Hackel MA et al (2018) In vitro activity of the siderophore cephalosporin, cefiderocol, against carbapenem-non susceptible and multidrugresistant isolates of gram-negative bacilli collected worldwide in 2014 to 2016. Antimicrob Agents Chemother 62(2):e01968-17</w:t>
            </w:r>
          </w:p>
          <w:p w14:paraId="411F7B13" w14:textId="77777777" w:rsidR="00C86C80" w:rsidRPr="00C86C80" w:rsidRDefault="00C86C80" w:rsidP="00C86C80">
            <w:pPr>
              <w:pStyle w:val="Listenabsatz"/>
              <w:numPr>
                <w:ilvl w:val="0"/>
                <w:numId w:val="13"/>
              </w:numPr>
              <w:autoSpaceDE w:val="0"/>
              <w:autoSpaceDN w:val="0"/>
              <w:adjustRightInd w:val="0"/>
              <w:spacing w:before="120"/>
              <w:ind w:left="357" w:hanging="357"/>
              <w:jc w:val="both"/>
              <w:rPr>
                <w:rFonts w:ascii="Arial Narrow" w:eastAsiaTheme="minorHAnsi" w:hAnsi="Arial Narrow" w:cstheme="minorBidi"/>
                <w:sz w:val="14"/>
                <w:szCs w:val="14"/>
                <w:lang w:val="en-US"/>
              </w:rPr>
            </w:pPr>
            <w:r w:rsidRPr="00C86C80">
              <w:rPr>
                <w:rFonts w:ascii="Arial Narrow" w:hAnsi="Arial Narrow" w:cs="URWPalladioL-Roma"/>
                <w:sz w:val="14"/>
                <w:szCs w:val="13"/>
                <w:lang w:val="en-GB"/>
              </w:rPr>
              <w:t xml:space="preserve">Shortridge D et al (2022) In Vitro Activity of Cefiderocol against U.S. and European Gram-Negative Clinical Isolates Collected in 2020 as Part of the SENTRY Antimicrobial Surveillance Program. </w:t>
            </w:r>
            <w:r w:rsidRPr="00C86C80">
              <w:rPr>
                <w:rFonts w:ascii="Arial Narrow" w:hAnsi="Arial Narrow" w:cs="URWPalladioL-Ital"/>
                <w:sz w:val="14"/>
                <w:szCs w:val="13"/>
              </w:rPr>
              <w:t xml:space="preserve">Microbiol. Spectr. </w:t>
            </w:r>
            <w:r w:rsidRPr="00C86C80">
              <w:rPr>
                <w:rFonts w:ascii="Arial Narrow" w:hAnsi="Arial Narrow" w:cs="URWPalladioL-Bold"/>
                <w:sz w:val="14"/>
                <w:szCs w:val="13"/>
              </w:rPr>
              <w:t>2022</w:t>
            </w:r>
            <w:r w:rsidRPr="00C86C80">
              <w:rPr>
                <w:rFonts w:ascii="Arial Narrow" w:hAnsi="Arial Narrow" w:cs="URWPalladioL-Roma"/>
                <w:sz w:val="14"/>
                <w:szCs w:val="13"/>
              </w:rPr>
              <w:t xml:space="preserve">, </w:t>
            </w:r>
            <w:r w:rsidRPr="00C86C80">
              <w:rPr>
                <w:rFonts w:ascii="Arial Narrow" w:hAnsi="Arial Narrow" w:cs="URWPalladioL-Ital"/>
                <w:sz w:val="14"/>
                <w:szCs w:val="13"/>
              </w:rPr>
              <w:t>10</w:t>
            </w:r>
            <w:r w:rsidRPr="00C86C80">
              <w:rPr>
                <w:rFonts w:ascii="Arial Narrow" w:hAnsi="Arial Narrow" w:cs="URWPalladioL-Roma"/>
                <w:sz w:val="14"/>
                <w:szCs w:val="13"/>
              </w:rPr>
              <w:t>:e02712-21.</w:t>
            </w:r>
          </w:p>
          <w:p w14:paraId="6FC15707" w14:textId="77777777" w:rsidR="00C86C80" w:rsidRPr="00FA0711"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lang w:val="en-US"/>
              </w:rPr>
            </w:pPr>
            <w:r w:rsidRPr="00C86C80">
              <w:rPr>
                <w:rFonts w:ascii="Arial Narrow" w:hAnsi="Arial Narrow" w:cs="URWPalladioL-Roma"/>
                <w:sz w:val="14"/>
                <w:szCs w:val="13"/>
                <w:lang w:val="en-GB"/>
              </w:rPr>
              <w:t xml:space="preserve">Zingg S et al. Cefideroocol for Extensively Drug-Resistant Gram-Negative Bacterial Infections: Real-world Experience From a Case Series and Review of the Literature. </w:t>
            </w:r>
            <w:r w:rsidRPr="00FA0711">
              <w:rPr>
                <w:rFonts w:ascii="Arial Narrow" w:hAnsi="Arial Narrow" w:cs="URWPalladioL-Roma"/>
                <w:sz w:val="14"/>
                <w:szCs w:val="13"/>
                <w:lang w:val="en-US"/>
              </w:rPr>
              <w:t>Open Forum Infect Dis 2020; 7(6):ofaa185</w:t>
            </w:r>
          </w:p>
          <w:p w14:paraId="67349131" w14:textId="77777777" w:rsidR="00C86C80" w:rsidRPr="00FA0711"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lang w:val="en-US"/>
              </w:rPr>
            </w:pPr>
            <w:r w:rsidRPr="00C86C80">
              <w:rPr>
                <w:rFonts w:ascii="Arial Narrow" w:hAnsi="Arial Narrow"/>
                <w:sz w:val="14"/>
                <w:szCs w:val="14"/>
                <w:lang w:val="en-GB"/>
              </w:rPr>
              <w:t xml:space="preserve">Falcone M et al. (2022) Cefiderocol – Compared to Colistin-Based Regimens for the Treatment of Severe Infections Caused by Carbapenem-Resistant Acinetobacter baumanii. </w:t>
            </w:r>
            <w:r w:rsidRPr="00FA0711">
              <w:rPr>
                <w:rFonts w:ascii="Arial Narrow" w:hAnsi="Arial Narrow"/>
                <w:sz w:val="14"/>
                <w:szCs w:val="14"/>
                <w:lang w:val="en-US"/>
              </w:rPr>
              <w:t>Antimicrob Agents Chemother 2022; 66(5):e0214221</w:t>
            </w:r>
          </w:p>
          <w:p w14:paraId="66B2E322" w14:textId="77777777" w:rsidR="00C86C80" w:rsidRPr="00FA0711" w:rsidRDefault="00C86C80" w:rsidP="00C86C80">
            <w:pPr>
              <w:pStyle w:val="Listenabsatz"/>
              <w:numPr>
                <w:ilvl w:val="0"/>
                <w:numId w:val="13"/>
              </w:numPr>
              <w:autoSpaceDE w:val="0"/>
              <w:autoSpaceDN w:val="0"/>
              <w:adjustRightInd w:val="0"/>
              <w:spacing w:before="120"/>
              <w:ind w:left="357" w:hanging="357"/>
              <w:jc w:val="both"/>
              <w:rPr>
                <w:rFonts w:ascii="Arial Narrow" w:hAnsi="Arial Narrow"/>
                <w:sz w:val="14"/>
                <w:szCs w:val="14"/>
                <w:lang w:val="en-US"/>
              </w:rPr>
            </w:pPr>
            <w:r w:rsidRPr="00C86C80">
              <w:rPr>
                <w:rFonts w:ascii="Arial Narrow" w:hAnsi="Arial Narrow"/>
                <w:sz w:val="14"/>
                <w:szCs w:val="14"/>
                <w:lang w:val="en-GB"/>
              </w:rPr>
              <w:lastRenderedPageBreak/>
              <w:t xml:space="preserve">Timsit JF et al. Cefiderocol for the Treatment of Infections Due to Metallo-Beta-Lactamase-Producing Pathogens in the CREDIBLE-CR And APEKS-NP Phase III Randomized Studies. </w:t>
            </w:r>
            <w:r w:rsidRPr="00FA0711">
              <w:rPr>
                <w:rFonts w:ascii="Arial Narrow" w:hAnsi="Arial Narrow"/>
                <w:sz w:val="14"/>
                <w:szCs w:val="14"/>
                <w:lang w:val="en-US"/>
              </w:rPr>
              <w:t>Clin Infect Fis 2022; ciac078</w:t>
            </w:r>
          </w:p>
          <w:p w14:paraId="606867B9" w14:textId="77777777" w:rsidR="00584225" w:rsidRPr="00FA0711" w:rsidRDefault="00584225" w:rsidP="00584225">
            <w:pPr>
              <w:rPr>
                <w:rFonts w:ascii="Arial Narrow" w:hAnsi="Arial Narrow"/>
                <w:sz w:val="22"/>
                <w:szCs w:val="22"/>
                <w:lang w:val="en-US"/>
              </w:rPr>
            </w:pPr>
            <w:r w:rsidRPr="00FA0711">
              <w:rPr>
                <w:rFonts w:ascii="Arial Narrow" w:hAnsi="Arial Narrow"/>
                <w:sz w:val="22"/>
                <w:szCs w:val="22"/>
                <w:vertAlign w:val="superscript"/>
                <w:lang w:val="en-US"/>
              </w:rPr>
              <w:t xml:space="preserve"> </w:t>
            </w:r>
          </w:p>
          <w:p w14:paraId="20601DD1" w14:textId="77777777" w:rsidR="00584225" w:rsidRPr="00996E48" w:rsidRDefault="00584225" w:rsidP="00584225">
            <w:pPr>
              <w:spacing w:line="239" w:lineRule="exact"/>
              <w:rPr>
                <w:rFonts w:ascii="Arial Narrow" w:hAnsi="Arial Narrow"/>
                <w:sz w:val="22"/>
                <w:szCs w:val="22"/>
                <w:u w:val="single"/>
              </w:rPr>
            </w:pPr>
            <w:r w:rsidRPr="00996E48">
              <w:rPr>
                <w:rFonts w:ascii="Arial Narrow" w:hAnsi="Arial Narrow"/>
                <w:sz w:val="22"/>
                <w:szCs w:val="22"/>
                <w:u w:val="single"/>
              </w:rPr>
              <w:t>Dosierung und Art der Anwendung</w:t>
            </w:r>
          </w:p>
          <w:p w14:paraId="0AF79188" w14:textId="2C5D202E" w:rsidR="00DB14F4" w:rsidRPr="00996E48" w:rsidRDefault="00584225" w:rsidP="00996E48">
            <w:pPr>
              <w:spacing w:before="120" w:line="239" w:lineRule="exact"/>
              <w:jc w:val="both"/>
              <w:rPr>
                <w:rFonts w:ascii="Arial Narrow" w:hAnsi="Arial Narrow"/>
                <w:sz w:val="22"/>
                <w:szCs w:val="22"/>
              </w:rPr>
            </w:pPr>
            <w:r w:rsidRPr="00996E48">
              <w:rPr>
                <w:rFonts w:ascii="Arial Narrow" w:hAnsi="Arial Narrow"/>
                <w:sz w:val="22"/>
                <w:szCs w:val="22"/>
              </w:rPr>
              <w:t>Die empfohlene Dosierung beträgt bei normaler Nierenfunktion (CrCL≥90&lt;120ml/min) und leichter Nierenfunktionsstörung (CrCL≥60&lt;90ml/min) 2g Cefiderocol alle 8 Stunden als Infusion. Bei erhöhter renaler Clearance (CrCL≥120ml/min) sollten 2g Cefiderocol alle 6 Stunden als Infusion gegeben werden. Bei mäßiger Nierenfunktionsstörung (CrCL≥30ml/min&lt;60ml/min) beträgt die empfohlene Dosierung 1,5g Cefiderocol alle 8 Stunden als Infusion, bei schwerer Nierenfunktionsstörung (CrCL≥15ml/min&lt;30ml/min) 1g Cefiderocol alle 8 Stunden als Infusion. Bei terminaler Nierenfunktionsstörung (CrCL &lt;15ml/min) und bei Patienten mit intermittierender Hämodialyse wird die Gabe von 0,75g Cefiderocol alle 12 Stunden als Infusion empfohlen. Bei Leberinsuffizienz und bei älteren Patienten ist keine Dosisanpassung erforderlich.</w:t>
            </w:r>
            <w:r w:rsidRPr="00996E48">
              <w:rPr>
                <w:sz w:val="28"/>
                <w:szCs w:val="28"/>
              </w:rPr>
              <w:t xml:space="preserve"> </w:t>
            </w:r>
            <w:r w:rsidRPr="00996E48">
              <w:rPr>
                <w:rFonts w:ascii="Arial Narrow" w:hAnsi="Arial Narrow"/>
                <w:sz w:val="22"/>
                <w:szCs w:val="22"/>
              </w:rPr>
              <w:t>Die Behandlungsdauer richtet sich nach der Lokalisation der Infektion. Zum Beispiel beträgt die empfohlene Behandlungsdauer bei komplizierten Harnwegsinfektionen, einschließlich Pyelonephritis, und bei komplizierten intraabdominellen Infektionen 5 bis 10 Tage. Bei nosokomialer Pneumonie, einschließlich beatmungsassoziierter Pneumonie, beträgt die empfohlene Behandlungsdauer 7 bis 14 Tage. Es kann eine Behandlungsdauer von bis zu 21 Tagen erforderlich sein.</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E45C65" w14:paraId="5C95386E" w14:textId="77777777">
        <w:tc>
          <w:tcPr>
            <w:tcW w:w="9212" w:type="dxa"/>
          </w:tcPr>
          <w:p w14:paraId="23A32DE6" w14:textId="77777777" w:rsidR="00CC7E5F" w:rsidRDefault="002D3CCD" w:rsidP="00435583">
            <w:pPr>
              <w:rPr>
                <w:rFonts w:ascii="Arial Narrow" w:hAnsi="Arial Narrow"/>
                <w:sz w:val="22"/>
              </w:rPr>
            </w:pPr>
            <w:r>
              <w:rPr>
                <w:rFonts w:ascii="Arial Narrow" w:hAnsi="Arial Narrow"/>
                <w:sz w:val="22"/>
              </w:rPr>
              <w:t>6-00g.0</w:t>
            </w:r>
            <w:r w:rsidR="00C245F1">
              <w:rPr>
                <w:rFonts w:ascii="Arial Narrow" w:hAnsi="Arial Narrow"/>
                <w:sz w:val="22"/>
              </w:rPr>
              <w:t>0</w:t>
            </w:r>
          </w:p>
          <w:p w14:paraId="40BCE50D" w14:textId="77777777" w:rsidR="00C245F1" w:rsidRDefault="00C245F1" w:rsidP="00435583">
            <w:pPr>
              <w:rPr>
                <w:rFonts w:ascii="Arial Narrow" w:hAnsi="Arial Narrow"/>
                <w:sz w:val="22"/>
              </w:rPr>
            </w:pPr>
            <w:r>
              <w:rPr>
                <w:rFonts w:ascii="Arial Narrow" w:hAnsi="Arial Narrow"/>
                <w:sz w:val="22"/>
              </w:rPr>
              <w:t>6-00g.01</w:t>
            </w:r>
          </w:p>
          <w:p w14:paraId="26467423" w14:textId="26B62715" w:rsidR="000133F1" w:rsidRPr="00DC5232" w:rsidRDefault="000133F1" w:rsidP="00435583">
            <w:pPr>
              <w:rPr>
                <w:rFonts w:ascii="Arial Narrow" w:hAnsi="Arial Narrow"/>
                <w:sz w:val="22"/>
              </w:rPr>
            </w:pPr>
            <w:r w:rsidRPr="00DC5232">
              <w:rPr>
                <w:rFonts w:ascii="Arial Narrow" w:hAnsi="Arial Narrow"/>
                <w:sz w:val="22"/>
              </w:rPr>
              <w:t>6-00g.02</w:t>
            </w:r>
          </w:p>
          <w:p w14:paraId="58251F52" w14:textId="35061484" w:rsidR="000133F1" w:rsidRPr="00DC5232" w:rsidRDefault="000133F1" w:rsidP="00435583">
            <w:pPr>
              <w:rPr>
                <w:rFonts w:ascii="Arial Narrow" w:hAnsi="Arial Narrow"/>
                <w:sz w:val="22"/>
              </w:rPr>
            </w:pPr>
            <w:r w:rsidRPr="00DC5232">
              <w:rPr>
                <w:rFonts w:ascii="Arial Narrow" w:hAnsi="Arial Narrow"/>
                <w:sz w:val="22"/>
              </w:rPr>
              <w:t>6-00g.03</w:t>
            </w:r>
          </w:p>
          <w:p w14:paraId="1DC5F617" w14:textId="0B0A0489" w:rsidR="000133F1" w:rsidRPr="00DC5232" w:rsidRDefault="000133F1" w:rsidP="00435583">
            <w:pPr>
              <w:rPr>
                <w:rFonts w:ascii="Arial Narrow" w:hAnsi="Arial Narrow"/>
                <w:sz w:val="22"/>
              </w:rPr>
            </w:pPr>
            <w:r w:rsidRPr="00DC5232">
              <w:rPr>
                <w:rFonts w:ascii="Arial Narrow" w:hAnsi="Arial Narrow"/>
                <w:sz w:val="22"/>
              </w:rPr>
              <w:t>6-00g.04</w:t>
            </w:r>
          </w:p>
          <w:p w14:paraId="4B214210" w14:textId="1A5CC38E" w:rsidR="000133F1" w:rsidRPr="00DC5232" w:rsidRDefault="000133F1" w:rsidP="00435583">
            <w:pPr>
              <w:rPr>
                <w:rFonts w:ascii="Arial Narrow" w:hAnsi="Arial Narrow"/>
                <w:sz w:val="22"/>
              </w:rPr>
            </w:pPr>
            <w:r w:rsidRPr="00DC5232">
              <w:rPr>
                <w:rFonts w:ascii="Arial Narrow" w:hAnsi="Arial Narrow"/>
                <w:sz w:val="22"/>
              </w:rPr>
              <w:t>6-00g.05</w:t>
            </w:r>
          </w:p>
          <w:p w14:paraId="0C1560A4" w14:textId="73C6D282" w:rsidR="000133F1" w:rsidRPr="00DC5232" w:rsidRDefault="000133F1" w:rsidP="00435583">
            <w:pPr>
              <w:rPr>
                <w:rFonts w:ascii="Arial Narrow" w:hAnsi="Arial Narrow"/>
                <w:sz w:val="22"/>
              </w:rPr>
            </w:pPr>
            <w:r w:rsidRPr="00DC5232">
              <w:rPr>
                <w:rFonts w:ascii="Arial Narrow" w:hAnsi="Arial Narrow"/>
                <w:sz w:val="22"/>
              </w:rPr>
              <w:t>6-00g.06</w:t>
            </w:r>
          </w:p>
          <w:p w14:paraId="25B99ACF" w14:textId="2D86C0B6" w:rsidR="000133F1" w:rsidRPr="00DC5232" w:rsidRDefault="000133F1" w:rsidP="00435583">
            <w:pPr>
              <w:rPr>
                <w:rFonts w:ascii="Arial Narrow" w:hAnsi="Arial Narrow"/>
                <w:sz w:val="22"/>
              </w:rPr>
            </w:pPr>
            <w:r w:rsidRPr="00DC5232">
              <w:rPr>
                <w:rFonts w:ascii="Arial Narrow" w:hAnsi="Arial Narrow"/>
                <w:sz w:val="22"/>
              </w:rPr>
              <w:t>6-00g.07</w:t>
            </w:r>
          </w:p>
          <w:p w14:paraId="2967705C" w14:textId="259BC6C8" w:rsidR="000133F1" w:rsidRPr="00DC5232" w:rsidRDefault="000133F1" w:rsidP="00435583">
            <w:pPr>
              <w:rPr>
                <w:rFonts w:ascii="Arial Narrow" w:hAnsi="Arial Narrow"/>
                <w:sz w:val="22"/>
              </w:rPr>
            </w:pPr>
            <w:r w:rsidRPr="00DC5232">
              <w:rPr>
                <w:rFonts w:ascii="Arial Narrow" w:hAnsi="Arial Narrow"/>
                <w:sz w:val="22"/>
              </w:rPr>
              <w:t>6-00g.08</w:t>
            </w:r>
          </w:p>
          <w:p w14:paraId="5320B9A1" w14:textId="6425B721" w:rsidR="000133F1" w:rsidRPr="00DC5232" w:rsidRDefault="000133F1" w:rsidP="00435583">
            <w:pPr>
              <w:rPr>
                <w:rFonts w:ascii="Arial Narrow" w:hAnsi="Arial Narrow"/>
                <w:sz w:val="22"/>
              </w:rPr>
            </w:pPr>
            <w:r w:rsidRPr="00DC5232">
              <w:rPr>
                <w:rFonts w:ascii="Arial Narrow" w:hAnsi="Arial Narrow"/>
                <w:sz w:val="22"/>
              </w:rPr>
              <w:t>6-00g.09</w:t>
            </w:r>
          </w:p>
          <w:p w14:paraId="080E4693" w14:textId="647452AE" w:rsidR="000133F1" w:rsidRPr="00DC5232" w:rsidRDefault="000133F1" w:rsidP="00435583">
            <w:pPr>
              <w:rPr>
                <w:rFonts w:ascii="Arial Narrow" w:hAnsi="Arial Narrow"/>
                <w:sz w:val="22"/>
              </w:rPr>
            </w:pPr>
            <w:r w:rsidRPr="00DC5232">
              <w:rPr>
                <w:rFonts w:ascii="Arial Narrow" w:hAnsi="Arial Narrow"/>
                <w:sz w:val="22"/>
              </w:rPr>
              <w:t>6-00g.0</w:t>
            </w:r>
            <w:r w:rsidR="00E45C65" w:rsidRPr="00DC5232">
              <w:rPr>
                <w:rFonts w:ascii="Arial Narrow" w:hAnsi="Arial Narrow"/>
                <w:sz w:val="22"/>
              </w:rPr>
              <w:t>a</w:t>
            </w:r>
          </w:p>
          <w:p w14:paraId="7B62C434" w14:textId="55FB975D" w:rsidR="000133F1" w:rsidRDefault="00E45C65" w:rsidP="00435583">
            <w:pPr>
              <w:rPr>
                <w:rFonts w:ascii="Arial Narrow" w:hAnsi="Arial Narrow"/>
                <w:sz w:val="22"/>
              </w:rPr>
            </w:pPr>
            <w:r>
              <w:rPr>
                <w:rFonts w:ascii="Arial Narrow" w:hAnsi="Arial Narrow"/>
                <w:sz w:val="22"/>
              </w:rPr>
              <w:t>6-00g.0b</w:t>
            </w:r>
          </w:p>
          <w:p w14:paraId="58DEAB17" w14:textId="2FEAB350" w:rsidR="00E45C65" w:rsidRDefault="00E45C65" w:rsidP="00435583">
            <w:pPr>
              <w:rPr>
                <w:rFonts w:ascii="Arial Narrow" w:hAnsi="Arial Narrow"/>
                <w:sz w:val="22"/>
              </w:rPr>
            </w:pPr>
            <w:r>
              <w:rPr>
                <w:rFonts w:ascii="Arial Narrow" w:hAnsi="Arial Narrow"/>
                <w:sz w:val="22"/>
              </w:rPr>
              <w:t>6-00g.0c</w:t>
            </w:r>
          </w:p>
          <w:p w14:paraId="0A5FF29A" w14:textId="59EDC673" w:rsidR="00E45C65" w:rsidRDefault="00E45C65" w:rsidP="00435583">
            <w:pPr>
              <w:rPr>
                <w:rFonts w:ascii="Arial Narrow" w:hAnsi="Arial Narrow"/>
                <w:sz w:val="22"/>
              </w:rPr>
            </w:pPr>
            <w:r>
              <w:rPr>
                <w:rFonts w:ascii="Arial Narrow" w:hAnsi="Arial Narrow"/>
                <w:sz w:val="22"/>
              </w:rPr>
              <w:t>6-00g.0d</w:t>
            </w:r>
          </w:p>
          <w:p w14:paraId="2B18D8F9" w14:textId="11E30112" w:rsidR="00E45C65" w:rsidRDefault="00E45C65" w:rsidP="00435583">
            <w:pPr>
              <w:rPr>
                <w:rFonts w:ascii="Arial Narrow" w:hAnsi="Arial Narrow"/>
                <w:sz w:val="22"/>
              </w:rPr>
            </w:pPr>
            <w:r>
              <w:rPr>
                <w:rFonts w:ascii="Arial Narrow" w:hAnsi="Arial Narrow"/>
                <w:sz w:val="22"/>
              </w:rPr>
              <w:t>6-00g.0e</w:t>
            </w:r>
          </w:p>
          <w:p w14:paraId="30137D21" w14:textId="4CACDA78" w:rsidR="00E45C65" w:rsidRDefault="00E45C65" w:rsidP="00435583">
            <w:pPr>
              <w:rPr>
                <w:rFonts w:ascii="Arial Narrow" w:hAnsi="Arial Narrow"/>
                <w:sz w:val="22"/>
              </w:rPr>
            </w:pPr>
            <w:r>
              <w:rPr>
                <w:rFonts w:ascii="Arial Narrow" w:hAnsi="Arial Narrow"/>
                <w:sz w:val="22"/>
              </w:rPr>
              <w:t>6-00g.0f</w:t>
            </w:r>
          </w:p>
          <w:p w14:paraId="3C502632" w14:textId="1E45F9A6" w:rsidR="00E45C65" w:rsidRDefault="00E45C65" w:rsidP="00435583">
            <w:pPr>
              <w:rPr>
                <w:rFonts w:ascii="Arial Narrow" w:hAnsi="Arial Narrow"/>
                <w:sz w:val="22"/>
              </w:rPr>
            </w:pPr>
            <w:r>
              <w:rPr>
                <w:rFonts w:ascii="Arial Narrow" w:hAnsi="Arial Narrow"/>
                <w:sz w:val="22"/>
              </w:rPr>
              <w:t>6-00g.0g</w:t>
            </w:r>
          </w:p>
          <w:p w14:paraId="26BD2A8D" w14:textId="31A74587" w:rsidR="00E45C65" w:rsidRDefault="00E45C65" w:rsidP="00435583">
            <w:pPr>
              <w:rPr>
                <w:rFonts w:ascii="Arial Narrow" w:hAnsi="Arial Narrow"/>
                <w:sz w:val="22"/>
              </w:rPr>
            </w:pPr>
            <w:r>
              <w:rPr>
                <w:rFonts w:ascii="Arial Narrow" w:hAnsi="Arial Narrow"/>
                <w:sz w:val="22"/>
              </w:rPr>
              <w:t>6-00g.0h</w:t>
            </w:r>
          </w:p>
          <w:p w14:paraId="453BA953" w14:textId="792309C8" w:rsidR="00E45C65" w:rsidRDefault="00E45C65" w:rsidP="00435583">
            <w:pPr>
              <w:rPr>
                <w:rFonts w:ascii="Arial Narrow" w:hAnsi="Arial Narrow"/>
                <w:sz w:val="22"/>
              </w:rPr>
            </w:pPr>
            <w:r>
              <w:rPr>
                <w:rFonts w:ascii="Arial Narrow" w:hAnsi="Arial Narrow"/>
                <w:sz w:val="22"/>
              </w:rPr>
              <w:t>6-00g.0j</w:t>
            </w:r>
          </w:p>
          <w:p w14:paraId="25F4ECD9" w14:textId="77777777" w:rsidR="00E45C65" w:rsidRDefault="00E45C65" w:rsidP="00435583">
            <w:pPr>
              <w:rPr>
                <w:rFonts w:ascii="Arial Narrow" w:hAnsi="Arial Narrow"/>
                <w:sz w:val="22"/>
              </w:rPr>
            </w:pPr>
            <w:r>
              <w:rPr>
                <w:rFonts w:ascii="Arial Narrow" w:hAnsi="Arial Narrow"/>
                <w:sz w:val="22"/>
              </w:rPr>
              <w:t>6-00g.0k</w:t>
            </w:r>
          </w:p>
          <w:p w14:paraId="276EB151" w14:textId="69D44D84" w:rsidR="00E45C65" w:rsidRPr="00E45C65" w:rsidRDefault="00E45C65" w:rsidP="00435583">
            <w:pPr>
              <w:rPr>
                <w:rFonts w:ascii="Arial Narrow" w:hAnsi="Arial Narrow"/>
                <w:sz w:val="22"/>
              </w:rPr>
            </w:pPr>
            <w:r>
              <w:rPr>
                <w:rFonts w:ascii="Arial Narrow" w:hAnsi="Arial Narrow"/>
                <w:sz w:val="22"/>
              </w:rPr>
              <w:t>6-00g.0m</w:t>
            </w:r>
          </w:p>
        </w:tc>
      </w:tr>
    </w:tbl>
    <w:p w14:paraId="63A2C327" w14:textId="77777777" w:rsidR="00DC6CBD" w:rsidRPr="00E45C65"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2CBFAE8D" w14:textId="77CA5E9C" w:rsidR="00565211" w:rsidRPr="00565211" w:rsidRDefault="00565211" w:rsidP="00565211">
            <w:pPr>
              <w:rPr>
                <w:rFonts w:ascii="Arial Narrow" w:hAnsi="Arial Narrow" w:cstheme="minorHAnsi"/>
                <w:sz w:val="22"/>
                <w:szCs w:val="22"/>
              </w:rPr>
            </w:pPr>
            <w:r w:rsidRPr="00565211">
              <w:rPr>
                <w:rFonts w:ascii="Arial Narrow" w:hAnsi="Arial Narrow" w:cstheme="minorHAnsi"/>
                <w:sz w:val="22"/>
                <w:szCs w:val="22"/>
              </w:rPr>
              <w:t>Die Kodes sind nur für Patienten anzugeben bei denen eine Infektion mit einem oder mehreren Erregern</w:t>
            </w:r>
          </w:p>
          <w:p w14:paraId="77F5979F" w14:textId="4FB299C2" w:rsidR="00565211" w:rsidRPr="00565211" w:rsidRDefault="00565211" w:rsidP="00565211">
            <w:pPr>
              <w:rPr>
                <w:rFonts w:ascii="Arial Narrow" w:hAnsi="Arial Narrow" w:cstheme="minorHAnsi"/>
                <w:sz w:val="22"/>
                <w:szCs w:val="22"/>
              </w:rPr>
            </w:pPr>
            <w:r w:rsidRPr="00565211">
              <w:rPr>
                <w:rFonts w:ascii="Arial Narrow" w:hAnsi="Arial Narrow" w:cstheme="minorHAnsi"/>
                <w:sz w:val="22"/>
                <w:szCs w:val="22"/>
              </w:rPr>
              <w:t>mit Resistenz gegen bestimmte Antibiotika oder Chemotherapeutika aus der Kategorie U81.-! der ICD-</w:t>
            </w:r>
          </w:p>
          <w:p w14:paraId="48201DB1" w14:textId="22D49A5C" w:rsidR="00C20945" w:rsidRPr="00CC7F53" w:rsidRDefault="00565211" w:rsidP="00565211">
            <w:pPr>
              <w:rPr>
                <w:rFonts w:ascii="Arial Narrow" w:hAnsi="Arial Narrow" w:cstheme="minorHAnsi"/>
                <w:sz w:val="22"/>
                <w:szCs w:val="22"/>
              </w:rPr>
            </w:pPr>
            <w:r w:rsidRPr="00565211">
              <w:rPr>
                <w:rFonts w:ascii="Arial Narrow" w:hAnsi="Arial Narrow" w:cstheme="minorHAnsi"/>
                <w:sz w:val="22"/>
                <w:szCs w:val="22"/>
              </w:rPr>
              <w:t xml:space="preserve">10-GM </w:t>
            </w:r>
            <w:r w:rsidR="00F811A5" w:rsidRPr="00565211">
              <w:rPr>
                <w:rFonts w:ascii="Arial Narrow" w:hAnsi="Arial Narrow" w:cstheme="minorHAnsi"/>
                <w:sz w:val="22"/>
                <w:szCs w:val="22"/>
              </w:rPr>
              <w:t>vorliegt</w:t>
            </w:r>
            <w:r w:rsidRPr="00565211">
              <w:rPr>
                <w:rFonts w:ascii="Arial Narrow" w:hAnsi="Arial Narrow" w:cstheme="minorHAnsi"/>
                <w:sz w:val="22"/>
                <w:szCs w:val="22"/>
              </w:rPr>
              <w:t>.</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31D50088" w14:textId="392B1892" w:rsidR="00825FBF" w:rsidRPr="000B15E3" w:rsidRDefault="00FE2024" w:rsidP="00825FBF">
            <w:pPr>
              <w:jc w:val="both"/>
              <w:rPr>
                <w:rFonts w:ascii="Arial Narrow" w:hAnsi="Arial Narrow"/>
                <w:sz w:val="22"/>
                <w:szCs w:val="22"/>
              </w:rPr>
            </w:pPr>
            <w:r w:rsidRPr="009B170B">
              <w:rPr>
                <w:rFonts w:ascii="Arial Narrow" w:hAnsi="Arial Narrow"/>
                <w:sz w:val="22"/>
              </w:rPr>
              <w:t>Cefiderocol</w:t>
            </w:r>
            <w:r w:rsidRPr="000B15E3" w:rsidDel="00FE2024">
              <w:rPr>
                <w:rFonts w:ascii="Arial Narrow" w:hAnsi="Arial Narrow"/>
                <w:sz w:val="22"/>
                <w:szCs w:val="22"/>
              </w:rPr>
              <w:t xml:space="preserve"> </w:t>
            </w:r>
            <w:r w:rsidR="00825FBF" w:rsidRPr="000B15E3">
              <w:rPr>
                <w:rFonts w:ascii="Arial Narrow" w:hAnsi="Arial Narrow"/>
                <w:sz w:val="22"/>
                <w:szCs w:val="22"/>
              </w:rPr>
              <w:t xml:space="preserve">wird angewendet bei Erwachsenen zur Behandlung von Infektionen durch aerobe </w:t>
            </w:r>
          </w:p>
          <w:p w14:paraId="19663ADE" w14:textId="7D4E436F" w:rsidR="009D5DB3" w:rsidRPr="009D5DB3" w:rsidRDefault="00825FBF" w:rsidP="009D5DB3">
            <w:pPr>
              <w:rPr>
                <w:rFonts w:ascii="Arial Narrow" w:hAnsi="Arial Narrow"/>
                <w:sz w:val="22"/>
                <w:szCs w:val="22"/>
              </w:rPr>
            </w:pPr>
            <w:r w:rsidRPr="000B15E3">
              <w:rPr>
                <w:rFonts w:ascii="Arial Narrow" w:hAnsi="Arial Narrow"/>
                <w:sz w:val="22"/>
                <w:szCs w:val="22"/>
              </w:rPr>
              <w:lastRenderedPageBreak/>
              <w:t>gramnegative Erreger, wenn nur begrenzte Behandlungsmöglichkeiten zur Verfügung stehen</w:t>
            </w:r>
            <w:r w:rsidR="009D5DB3">
              <w:t xml:space="preserve"> </w:t>
            </w:r>
            <w:r w:rsidR="009D5DB3" w:rsidRPr="009D5DB3">
              <w:rPr>
                <w:rFonts w:ascii="Arial Narrow" w:hAnsi="Arial Narrow"/>
                <w:sz w:val="22"/>
                <w:szCs w:val="22"/>
              </w:rPr>
              <w:t xml:space="preserve">(siehe </w:t>
            </w:r>
          </w:p>
          <w:p w14:paraId="606B75B1" w14:textId="77D538BC" w:rsidR="008E6675" w:rsidRPr="007F255B" w:rsidRDefault="009D5DB3" w:rsidP="009D5DB3">
            <w:pPr>
              <w:rPr>
                <w:rFonts w:ascii="Arial Narrow" w:hAnsi="Arial Narrow"/>
                <w:sz w:val="22"/>
                <w:szCs w:val="22"/>
              </w:rPr>
            </w:pPr>
            <w:r w:rsidRPr="009D5DB3">
              <w:rPr>
                <w:rFonts w:ascii="Arial Narrow" w:hAnsi="Arial Narrow"/>
                <w:sz w:val="22"/>
                <w:szCs w:val="22"/>
              </w:rPr>
              <w:t>Abschnitte 4.2, 4.4 und 5.1</w:t>
            </w:r>
            <w:r w:rsidR="00905BEA">
              <w:rPr>
                <w:rFonts w:ascii="Arial Narrow" w:hAnsi="Arial Narrow"/>
                <w:sz w:val="22"/>
                <w:szCs w:val="22"/>
              </w:rPr>
              <w:t xml:space="preserve"> der Fachinformation</w:t>
            </w:r>
            <w:r w:rsidRPr="009D5DB3">
              <w:rPr>
                <w:rFonts w:ascii="Arial Narrow" w:hAnsi="Arial Narrow"/>
                <w:sz w:val="22"/>
                <w:szCs w:val="22"/>
              </w:rPr>
              <w:t>).</w:t>
            </w:r>
            <w:r w:rsidR="00905BEA">
              <w:rPr>
                <w:rFonts w:ascii="Arial Narrow" w:hAnsi="Arial Narrow"/>
                <w:sz w:val="22"/>
                <w:szCs w:val="22"/>
              </w:rPr>
              <w:t xml:space="preserve"> </w:t>
            </w:r>
            <w:r w:rsidR="00EE7C3F" w:rsidRPr="00EE7C3F">
              <w:rPr>
                <w:rFonts w:ascii="Arial Narrow" w:hAnsi="Arial Narrow"/>
                <w:sz w:val="22"/>
                <w:szCs w:val="22"/>
              </w:rPr>
              <w:t>Die offiziellen Leitlinien für den angemessenen Einsatz von Antibiotika sind zu berücksichtigen.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1B5DE140" w14:textId="77777777" w:rsidR="006215E2" w:rsidRDefault="006215E2" w:rsidP="006215E2">
            <w:pPr>
              <w:spacing w:before="120"/>
              <w:jc w:val="both"/>
              <w:rPr>
                <w:rFonts w:ascii="Arial Narrow" w:hAnsi="Arial Narrow"/>
                <w:sz w:val="21"/>
                <w:szCs w:val="22"/>
              </w:rPr>
            </w:pPr>
            <w:r>
              <w:rPr>
                <w:rFonts w:ascii="Arial Narrow" w:hAnsi="Arial Narrow"/>
                <w:sz w:val="21"/>
              </w:rPr>
              <w:t xml:space="preserve">Insgesamt besteht ein großer Bedarf an Arzneimitteln zur Behandlung von bakteriellen Infektionen, wenn andere Antibiotika nicht wirksam sind oder nicht angewendet werden können. Der Bedarf an Reserveantibiotika entsteht aufgrund der Zunahme von Antibiotikaresistenzen bei Bakterien. Im Laufe der Zeit haben viele Bakterienstämme Mechanismen entwickelt, um gegen gängige Antibiotika resistent zu werden. Dies bedeutet, dass herkömmliche Antibiotika oft nicht mehr in der Lage sind, diese resistenten Bakterien effektiv zu bekämpfen. Die Verfügbarkeit neuer Reserveantibiotika ist zusammen mit der Verbesserung der Überwachungssysteme wichtig, um den medizinischen Bedarf bei der Behandlung von resistenten Keimen zu decken und die Wirksamkeit dieser lebensrettenden Medikamente zu erhalten. Cefiderocol besitzt ein breites Wirkspektrum gegen aerobe, gramnegative Erreger. Besonders wirksam ist Cefiderocol bei Carbapenem-resistenten Infektionen, Carbapenem-resistente Erregerstämme wie </w:t>
            </w:r>
            <w:r>
              <w:rPr>
                <w:rFonts w:ascii="Arial Narrow" w:hAnsi="Arial Narrow"/>
                <w:i/>
                <w:iCs/>
                <w:sz w:val="21"/>
              </w:rPr>
              <w:t>Pseudomoas aeruginosa</w:t>
            </w:r>
            <w:r>
              <w:rPr>
                <w:rFonts w:ascii="Arial Narrow" w:hAnsi="Arial Narrow"/>
                <w:sz w:val="21"/>
              </w:rPr>
              <w:t xml:space="preserve"> (der bekannteste Krankenhauskeim), </w:t>
            </w:r>
            <w:r>
              <w:rPr>
                <w:rFonts w:ascii="Arial Narrow" w:hAnsi="Arial Narrow"/>
                <w:i/>
                <w:iCs/>
                <w:sz w:val="21"/>
              </w:rPr>
              <w:t>Acinectobacter baumannii</w:t>
            </w:r>
            <w:r>
              <w:rPr>
                <w:rFonts w:ascii="Arial Narrow" w:hAnsi="Arial Narrow"/>
                <w:sz w:val="21"/>
              </w:rPr>
              <w:t xml:space="preserve"> und Enterbacterales stehen laut der WHO auf der Liste der antibiotikaresistenten Bakterien.</w:t>
            </w:r>
            <w:r>
              <w:rPr>
                <w:rFonts w:ascii="Arial Narrow" w:hAnsi="Arial Narrow"/>
                <w:sz w:val="21"/>
                <w:vertAlign w:val="superscript"/>
              </w:rPr>
              <w:t>3,4,6</w:t>
            </w:r>
          </w:p>
          <w:p w14:paraId="7B970ACB" w14:textId="77777777" w:rsidR="006215E2" w:rsidRDefault="006215E2" w:rsidP="006215E2">
            <w:pPr>
              <w:spacing w:before="120"/>
              <w:jc w:val="both"/>
              <w:rPr>
                <w:rFonts w:ascii="Arial Narrow" w:hAnsi="Arial Narrow"/>
                <w:sz w:val="21"/>
                <w:szCs w:val="21"/>
              </w:rPr>
            </w:pPr>
            <w:r>
              <w:rPr>
                <w:rFonts w:ascii="Arial Narrow" w:hAnsi="Arial Narrow"/>
                <w:sz w:val="21"/>
                <w:szCs w:val="21"/>
              </w:rPr>
              <w:t>Der Gemeinsame Bundesausschuss (G-BA) hat den Wirkstoff Cefiderocol im Oktober 2021 als Reserveantibiotikum im Sinne des § 35a Absatz 1c SGB V eingestuft.</w:t>
            </w:r>
            <w:r>
              <w:rPr>
                <w:rFonts w:ascii="Arial Narrow" w:hAnsi="Arial Narrow"/>
                <w:sz w:val="21"/>
                <w:szCs w:val="21"/>
                <w:vertAlign w:val="superscript"/>
              </w:rPr>
              <w:t xml:space="preserve">16 </w:t>
            </w:r>
            <w:r>
              <w:rPr>
                <w:rFonts w:ascii="Arial Narrow" w:hAnsi="Arial Narrow"/>
                <w:sz w:val="21"/>
                <w:szCs w:val="21"/>
              </w:rPr>
              <w:t>Der Zusatznutzen von Reserveantibiotika gilt nach § 35a Abs. 1c SGB V als belegt. Auch dieser Umstand spiegelt die hohe Versorgungsrelevanz von Reserveantibiotika wider.</w:t>
            </w:r>
          </w:p>
          <w:p w14:paraId="3EC3722F" w14:textId="21991F2F" w:rsidR="008E6675" w:rsidRPr="005B160C" w:rsidRDefault="006215E2" w:rsidP="006215E2">
            <w:pPr>
              <w:jc w:val="both"/>
              <w:rPr>
                <w:rFonts w:ascii="Arial Narrow" w:hAnsi="Arial Narrow"/>
                <w:sz w:val="22"/>
              </w:rPr>
            </w:pPr>
            <w:r>
              <w:rPr>
                <w:rFonts w:ascii="Arial Narrow" w:hAnsi="Arial Narrow"/>
                <w:sz w:val="21"/>
              </w:rPr>
              <w:t>Außer Cefiderocol stehen nur sehr wenige Reserveantibiotika zur Verfügung (</w:t>
            </w:r>
            <w:r w:rsidR="000415D1">
              <w:rPr>
                <w:rFonts w:ascii="Arial Narrow" w:hAnsi="Arial Narrow"/>
                <w:sz w:val="21"/>
              </w:rPr>
              <w:t xml:space="preserve">unter anderem </w:t>
            </w:r>
            <w:r>
              <w:rPr>
                <w:rFonts w:ascii="Arial Narrow" w:hAnsi="Arial Narrow"/>
                <w:sz w:val="21"/>
              </w:rPr>
              <w:t>die Wirkstoffe Ceftolozan/ Tazobactam, Ceftazidim/ Avibactam, Imipenem/Cilastatin/Relebactam und Eravacyclin). Cefiderocol ergänzt die verfügbaren Therapieoptionen.</w:t>
            </w:r>
            <w:r>
              <w:rPr>
                <w:rFonts w:ascii="Arial Narrow"/>
                <w:sz w:val="21"/>
              </w:rPr>
              <w:t xml:space="preserve">  </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30AB5082" w14:textId="6584E75F" w:rsidR="009306DE" w:rsidRDefault="008D4529" w:rsidP="00C11458">
            <w:pPr>
              <w:rPr>
                <w:rFonts w:ascii="Arial Narrow" w:hAnsi="Arial Narrow"/>
                <w:sz w:val="22"/>
              </w:rPr>
            </w:pPr>
            <w:r w:rsidRPr="009B170B">
              <w:rPr>
                <w:rFonts w:ascii="Arial Narrow" w:hAnsi="Arial Narrow"/>
                <w:sz w:val="22"/>
              </w:rPr>
              <w:t>Cefiderocol ist ein neuartiges Medikament</w:t>
            </w:r>
            <w:r>
              <w:rPr>
                <w:rFonts w:ascii="Arial Narrow" w:hAnsi="Arial Narrow"/>
                <w:sz w:val="22"/>
              </w:rPr>
              <w:t>,</w:t>
            </w:r>
            <w:r w:rsidRPr="009B170B">
              <w:rPr>
                <w:rFonts w:ascii="Arial Narrow" w:hAnsi="Arial Narrow"/>
                <w:sz w:val="22"/>
              </w:rPr>
              <w:t xml:space="preserve"> welches im Jahre</w:t>
            </w:r>
            <w:r>
              <w:rPr>
                <w:rFonts w:ascii="Arial Narrow" w:hAnsi="Arial Narrow"/>
                <w:sz w:val="22"/>
              </w:rPr>
              <w:t xml:space="preserve"> </w:t>
            </w:r>
            <w:r w:rsidRPr="009B170B">
              <w:rPr>
                <w:rFonts w:ascii="Arial Narrow" w:hAnsi="Arial Narrow"/>
                <w:sz w:val="22"/>
              </w:rPr>
              <w:t xml:space="preserve">2021 in Deutschland eingeführt </w:t>
            </w:r>
            <w:r w:rsidR="00AC7838">
              <w:rPr>
                <w:rFonts w:ascii="Arial Narrow" w:hAnsi="Arial Narrow"/>
                <w:sz w:val="22"/>
              </w:rPr>
              <w:t xml:space="preserve">und erstmals am 15. Januar 2021 in der Lauer-Taxe gelistet </w:t>
            </w:r>
            <w:r w:rsidRPr="009B170B">
              <w:rPr>
                <w:rFonts w:ascii="Arial Narrow" w:hAnsi="Arial Narrow"/>
                <w:sz w:val="22"/>
              </w:rPr>
              <w:t>wurde.</w:t>
            </w:r>
            <w:r>
              <w:rPr>
                <w:rFonts w:ascii="Arial Narrow" w:hAnsi="Arial Narrow"/>
                <w:sz w:val="22"/>
              </w:rPr>
              <w:t xml:space="preserve"> </w:t>
            </w:r>
            <w:r w:rsidRPr="00343217">
              <w:rPr>
                <w:rFonts w:ascii="Arial Narrow" w:hAnsi="Arial Narrow"/>
                <w:sz w:val="22"/>
              </w:rPr>
              <w:t xml:space="preserve">In den Informationen nach § 6 Abs. 2 KHEntgG für </w:t>
            </w:r>
            <w:r w:rsidR="002D3CCD" w:rsidRPr="00343217">
              <w:rPr>
                <w:rFonts w:ascii="Arial Narrow" w:hAnsi="Arial Narrow"/>
                <w:sz w:val="22"/>
              </w:rPr>
              <w:t>202</w:t>
            </w:r>
            <w:r w:rsidR="00523A85" w:rsidRPr="00343217">
              <w:rPr>
                <w:rFonts w:ascii="Arial Narrow" w:hAnsi="Arial Narrow"/>
                <w:sz w:val="22"/>
              </w:rPr>
              <w:t>5</w:t>
            </w:r>
            <w:r w:rsidR="002D3CCD" w:rsidRPr="00343217">
              <w:rPr>
                <w:rFonts w:ascii="Arial Narrow" w:hAnsi="Arial Narrow"/>
                <w:sz w:val="22"/>
              </w:rPr>
              <w:t xml:space="preserve"> </w:t>
            </w:r>
            <w:r w:rsidRPr="00343217">
              <w:rPr>
                <w:rFonts w:ascii="Arial Narrow" w:hAnsi="Arial Narrow"/>
                <w:sz w:val="22"/>
              </w:rPr>
              <w:t xml:space="preserve">hat Cefiderocol den Status 2 (Position </w:t>
            </w:r>
            <w:r w:rsidR="004522CF" w:rsidRPr="00343217">
              <w:rPr>
                <w:rFonts w:ascii="Arial Narrow" w:hAnsi="Arial Narrow"/>
                <w:sz w:val="22"/>
              </w:rPr>
              <w:t>345</w:t>
            </w:r>
            <w:r w:rsidR="002D3CCD" w:rsidRPr="00343217">
              <w:rPr>
                <w:rFonts w:ascii="Arial Narrow" w:hAnsi="Arial Narrow"/>
                <w:sz w:val="22"/>
              </w:rPr>
              <w:t xml:space="preserve"> </w:t>
            </w:r>
            <w:r w:rsidRPr="00343217">
              <w:rPr>
                <w:rFonts w:ascii="Arial Narrow" w:hAnsi="Arial Narrow"/>
                <w:sz w:val="22"/>
              </w:rPr>
              <w:t>der NUB-Liste)</w:t>
            </w:r>
            <w:r w:rsidR="004522CF" w:rsidRPr="00343217">
              <w:rPr>
                <w:rFonts w:ascii="Arial Narrow" w:hAnsi="Arial Narrow"/>
                <w:sz w:val="22"/>
              </w:rPr>
              <w:t xml:space="preserve"> und wurde von </w:t>
            </w:r>
            <w:r w:rsidR="00343217" w:rsidRPr="00343217">
              <w:rPr>
                <w:rFonts w:ascii="Arial Narrow" w:hAnsi="Arial Narrow"/>
                <w:sz w:val="22"/>
              </w:rPr>
              <w:t>636 Kliniken angefragt.</w:t>
            </w:r>
            <w:r w:rsidRPr="00715941">
              <w:rPr>
                <w:rFonts w:ascii="Arial Narrow" w:hAnsi="Arial Narrow"/>
                <w:sz w:val="22"/>
              </w:rPr>
              <w:t xml:space="preserve"> </w:t>
            </w:r>
          </w:p>
          <w:p w14:paraId="354A54BA" w14:textId="77777777" w:rsidR="00CE7D77" w:rsidRDefault="00CE7D77" w:rsidP="00C11458">
            <w:pPr>
              <w:rPr>
                <w:rFonts w:ascii="Arial Narrow" w:hAnsi="Arial Narrow"/>
                <w:sz w:val="22"/>
              </w:rPr>
            </w:pPr>
          </w:p>
          <w:p w14:paraId="20494E04" w14:textId="245D7D15" w:rsidR="009306DE" w:rsidRDefault="00CE7D77" w:rsidP="00C11458">
            <w:pPr>
              <w:rPr>
                <w:rFonts w:ascii="Arial Narrow" w:hAnsi="Arial Narrow"/>
                <w:szCs w:val="28"/>
              </w:rPr>
            </w:pPr>
            <w:r w:rsidRPr="008C0657">
              <w:rPr>
                <w:rFonts w:ascii="Arial Narrow" w:hAnsi="Arial Narrow"/>
                <w:sz w:val="22"/>
                <w:szCs w:val="22"/>
              </w:rPr>
              <w:t>Als Vertreter der Cephalosporine nutzt Cefiderocol einen bekannten Wirkmechanismus, gänzlich neu ist jedoch der Zelleintrittsmechanismus, welcher Cefiderocol wichtige Resistenzmechanismen, die man bei Carbapenem-Resistenz kennt, umgehen lässt. Cefiderocol besitzt durch seinen Siderophor-Anteil eine Bindestelle für Eisen(III-)Ionen und kann somit trotz mutierter Porinkanäle und überexprimierter Effluxpumpen aktiv über einen Eisen-Transporter in die Bakterienzelle gelangen und durch die Bindung an Penicillin-bindende Proteine die Peptidoglycansynthese in der Bakterienzellwand hemmen. Es kommt zur Lyse und die Bakterienzelle stirbt ab. Durch seine chemische Struktur und die Seitenketten an C-7 und C-3 ist Cefiderocol stabil gegen (alle) bekannten Klassen von deaktivierten Beta-Lactamasen (einschließlich Metallo-Betalaktamasen)</w:t>
            </w:r>
          </w:p>
          <w:p w14:paraId="37CA57C4" w14:textId="77777777" w:rsidR="00B54D33" w:rsidRPr="00A03482" w:rsidRDefault="00B54D33" w:rsidP="00C11458">
            <w:pPr>
              <w:rPr>
                <w:rFonts w:ascii="Arial Narrow" w:hAnsi="Arial Narrow"/>
                <w:szCs w:val="28"/>
              </w:rPr>
            </w:pPr>
          </w:p>
          <w:p w14:paraId="6B1FDB47" w14:textId="1E9B41BF" w:rsidR="008E6675" w:rsidRPr="005638EB" w:rsidRDefault="008D4529" w:rsidP="00C11458">
            <w:pPr>
              <w:rPr>
                <w:rFonts w:ascii="Arial Narrow" w:hAnsi="Arial Narrow"/>
              </w:rPr>
            </w:pPr>
            <w:r w:rsidRPr="00715941">
              <w:rPr>
                <w:rFonts w:ascii="Arial Narrow" w:hAnsi="Arial Narrow"/>
                <w:sz w:val="22"/>
              </w:rPr>
              <w:t>Die Einstufung in den Status 2 ist nicht nachvollziehbar</w:t>
            </w:r>
            <w:r>
              <w:rPr>
                <w:rFonts w:ascii="Arial Narrow" w:hAnsi="Arial Narrow"/>
                <w:sz w:val="22"/>
              </w:rPr>
              <w:t xml:space="preserve">, </w:t>
            </w:r>
            <w:r w:rsidRPr="00E53752">
              <w:rPr>
                <w:rFonts w:ascii="Arial Narrow" w:hAnsi="Arial Narrow"/>
                <w:sz w:val="22"/>
              </w:rPr>
              <w:t>weil das Medikament hohe Kosten verursacht, die im DRG-Fallpauschalensystem nicht berücksichtigt sind. Der Arzneimittelanteil innerhalb der DRG deckt keine medizinisch notwendigen, hochpreisigen Reserve-Antibiotika ab.</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47EE9BA5"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lastRenderedPageBreak/>
              <w:t>Wann wurde diese Methode in Deutschland eingeführt?</w:t>
            </w:r>
          </w:p>
        </w:tc>
      </w:tr>
      <w:tr w:rsidR="008E6675" w:rsidRPr="007F255B" w14:paraId="0DF8F781" w14:textId="77777777">
        <w:tc>
          <w:tcPr>
            <w:tcW w:w="9212" w:type="dxa"/>
          </w:tcPr>
          <w:p w14:paraId="256E27C8" w14:textId="57FC0A12" w:rsidR="00D14350" w:rsidRPr="00C112A6" w:rsidRDefault="00886AEE" w:rsidP="00C112A6">
            <w:pPr>
              <w:rPr>
                <w:rFonts w:ascii="Arial Narrow" w:hAnsi="Arial Narrow"/>
                <w:color w:val="00B050"/>
                <w:sz w:val="22"/>
              </w:rPr>
            </w:pPr>
            <w:r>
              <w:rPr>
                <w:rFonts w:ascii="Arial Narrow" w:eastAsia="Arial Narrow" w:hAnsi="Arial Narrow" w:cs="Arial Narrow"/>
                <w:sz w:val="21"/>
                <w:szCs w:val="21"/>
              </w:rPr>
              <w:t>15.01.2021</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60BA14FD" w:rsidR="00044597" w:rsidRPr="00C112A6" w:rsidRDefault="004B48CC" w:rsidP="00C112A6">
            <w:pPr>
              <w:rPr>
                <w:rFonts w:ascii="Arial Narrow" w:hAnsi="Arial Narrow"/>
                <w:color w:val="00B050"/>
                <w:sz w:val="22"/>
              </w:rPr>
            </w:pPr>
            <w:r>
              <w:rPr>
                <w:rFonts w:ascii="Arial Narrow"/>
                <w:sz w:val="21"/>
              </w:rPr>
              <w:t>23.04.2020</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C577A06" w:rsidR="00C112A6" w:rsidRPr="005638EB" w:rsidRDefault="00587C33" w:rsidP="009229BF">
            <w:pPr>
              <w:rPr>
                <w:rFonts w:ascii="Arial Narrow" w:hAnsi="Arial Narrow"/>
              </w:rPr>
            </w:pPr>
            <w:r w:rsidRPr="00587C33">
              <w:rPr>
                <w:rFonts w:ascii="Arial Narrow" w:hAnsi="Arial Narrow"/>
                <w:sz w:val="22"/>
              </w:rPr>
              <w:t xml:space="preserve">Cefiderocol wird in allen Kliniken benötigt. Cefiderocol hat in den Informationen nach § 6 Abs. 2 KHEntG derzeit Status 2. Die Anzahl der NUB-anfragenden Krankenhäuser hat sich seit Markteinführung mehr als verdoppelt. Die Anzahl von </w:t>
            </w:r>
            <w:r w:rsidR="005A2818">
              <w:rPr>
                <w:rFonts w:ascii="Arial Narrow" w:hAnsi="Arial Narrow"/>
                <w:sz w:val="22"/>
              </w:rPr>
              <w:t>636</w:t>
            </w:r>
            <w:r w:rsidRPr="00587C33">
              <w:rPr>
                <w:rFonts w:ascii="Arial Narrow" w:hAnsi="Arial Narrow"/>
                <w:sz w:val="22"/>
              </w:rPr>
              <w:t xml:space="preserve"> beantragenden Krankenhäusern des Vorjahres dürfte weiterhin eine Unterschätzung darstellen.</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53FC349A"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C0397D">
              <w:rPr>
                <w:rFonts w:ascii="Arial Narrow" w:hAnsi="Arial Narrow"/>
                <w:b/>
                <w:sz w:val="22"/>
              </w:rPr>
              <w:t>4</w:t>
            </w:r>
            <w:r w:rsidR="000953D2">
              <w:rPr>
                <w:rFonts w:ascii="Arial Narrow" w:hAnsi="Arial Narrow"/>
                <w:b/>
                <w:sz w:val="22"/>
              </w:rPr>
              <w:t xml:space="preserve"> oder in 202</w:t>
            </w:r>
            <w:r w:rsidR="00C0397D">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4692C67D"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9B4930">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23C00F71"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9B4930">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6DDD3384"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9B4930">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7CAC5AE0" w14:textId="77777777" w:rsidR="004F72C9" w:rsidRPr="00996E48" w:rsidRDefault="004F72C9" w:rsidP="004F72C9">
            <w:pPr>
              <w:pStyle w:val="Default"/>
              <w:rPr>
                <w:rFonts w:ascii="Arial Narrow" w:hAnsi="Arial Narrow"/>
                <w:sz w:val="22"/>
                <w:szCs w:val="22"/>
                <w:u w:val="single"/>
              </w:rPr>
            </w:pPr>
            <w:r w:rsidRPr="00996E48">
              <w:rPr>
                <w:rFonts w:ascii="Arial Narrow" w:hAnsi="Arial Narrow"/>
                <w:sz w:val="22"/>
                <w:szCs w:val="22"/>
                <w:u w:val="single"/>
              </w:rPr>
              <w:t>Sachkosten:</w:t>
            </w:r>
          </w:p>
          <w:p w14:paraId="26505A2D" w14:textId="77777777" w:rsidR="001A016F" w:rsidRPr="00996E48" w:rsidRDefault="004F72C9" w:rsidP="004F72C9">
            <w:pPr>
              <w:pStyle w:val="Default"/>
              <w:spacing w:before="120"/>
              <w:jc w:val="both"/>
              <w:rPr>
                <w:rFonts w:ascii="Arial Narrow" w:hAnsi="Arial Narrow"/>
                <w:sz w:val="22"/>
                <w:szCs w:val="22"/>
              </w:rPr>
            </w:pPr>
            <w:r w:rsidRPr="00996E48">
              <w:rPr>
                <w:rFonts w:ascii="Arial Narrow" w:hAnsi="Arial Narrow"/>
                <w:sz w:val="22"/>
                <w:szCs w:val="22"/>
              </w:rPr>
              <w:t xml:space="preserve">Für die Herstellung einer Infusionslösung für die Behandlung mit Cefiderocol stehen Packungen mit 10 Einzeldosen je 1g Cefiderocol zur Verfügung. Die Dosierempfehlung beträgt abhängig von der Nierenfunktion zwischen 2g alle 6 Stunden und 0,75g alle 12 Stunden. </w:t>
            </w:r>
          </w:p>
          <w:p w14:paraId="7B274B4B" w14:textId="357869BD" w:rsidR="004F72C9" w:rsidRPr="00996E48" w:rsidRDefault="004F72C9" w:rsidP="004F72C9">
            <w:pPr>
              <w:pStyle w:val="Default"/>
              <w:spacing w:before="120"/>
              <w:jc w:val="both"/>
              <w:rPr>
                <w:rFonts w:ascii="Arial Narrow" w:hAnsi="Arial Narrow"/>
                <w:sz w:val="22"/>
                <w:szCs w:val="22"/>
              </w:rPr>
            </w:pPr>
            <w:r w:rsidRPr="00996E48">
              <w:rPr>
                <w:rFonts w:ascii="Arial Narrow" w:hAnsi="Arial Narrow"/>
                <w:sz w:val="22"/>
                <w:szCs w:val="22"/>
              </w:rPr>
              <w:t>Bei normaler Nierenfunktion (einschließlich leichter Nierenfunktionsstörung) beträgt die Dosierungsempfehlung 2g alle 8 Stunden</w:t>
            </w:r>
            <w:r w:rsidR="00EE5FA9" w:rsidRPr="00996E48">
              <w:rPr>
                <w:rFonts w:ascii="Arial Narrow" w:hAnsi="Arial Narrow"/>
                <w:sz w:val="22"/>
                <w:szCs w:val="22"/>
              </w:rPr>
              <w:t xml:space="preserve"> (bzw. 3 x 2g pro Tag)</w:t>
            </w:r>
            <w:r w:rsidRPr="00996E48">
              <w:rPr>
                <w:rFonts w:ascii="Arial Narrow" w:hAnsi="Arial Narrow"/>
                <w:sz w:val="22"/>
                <w:szCs w:val="22"/>
              </w:rPr>
              <w:t>. Die Dauer der Therapie beträgt in der Regel 5 – 14 Tage, bei schweren Fällen bis zu 21 Tage.</w:t>
            </w:r>
          </w:p>
          <w:p w14:paraId="2102468A" w14:textId="2B76F9E9" w:rsidR="00F73247" w:rsidRPr="00996E48" w:rsidRDefault="004F72C9" w:rsidP="004F72C9">
            <w:pPr>
              <w:pStyle w:val="Default"/>
              <w:spacing w:before="120"/>
              <w:jc w:val="both"/>
              <w:rPr>
                <w:rFonts w:ascii="Arial Narrow" w:hAnsi="Arial Narrow"/>
                <w:sz w:val="22"/>
                <w:szCs w:val="22"/>
              </w:rPr>
            </w:pPr>
            <w:r w:rsidRPr="00996E48">
              <w:rPr>
                <w:rFonts w:ascii="Arial Narrow" w:hAnsi="Arial Narrow"/>
                <w:sz w:val="22"/>
                <w:szCs w:val="22"/>
              </w:rPr>
              <w:t xml:space="preserve">Eine Packung mit 10 Einzeldosen je 1g Cefiderocol kostet 1.500,00 € (gemäß Lauer-Taxe; Stand: </w:t>
            </w:r>
            <w:r w:rsidR="00B86697">
              <w:rPr>
                <w:rFonts w:ascii="Arial Narrow" w:hAnsi="Arial Narrow"/>
                <w:sz w:val="22"/>
                <w:szCs w:val="22"/>
              </w:rPr>
              <w:t>01</w:t>
            </w:r>
            <w:r w:rsidR="002D3CCD" w:rsidRPr="00996E48">
              <w:rPr>
                <w:rFonts w:ascii="Arial Narrow" w:hAnsi="Arial Narrow"/>
                <w:sz w:val="22"/>
                <w:szCs w:val="22"/>
              </w:rPr>
              <w:t>.09.202</w:t>
            </w:r>
            <w:r w:rsidR="00B86697">
              <w:rPr>
                <w:rFonts w:ascii="Arial Narrow" w:hAnsi="Arial Narrow"/>
                <w:sz w:val="22"/>
                <w:szCs w:val="22"/>
              </w:rPr>
              <w:t>5</w:t>
            </w:r>
            <w:r w:rsidRPr="00996E48">
              <w:rPr>
                <w:rFonts w:ascii="Arial Narrow" w:hAnsi="Arial Narrow"/>
                <w:sz w:val="22"/>
                <w:szCs w:val="22"/>
              </w:rPr>
              <w:t>) zuzüglich Mehrwertsteuer 19% = 1.785,00 €.</w:t>
            </w:r>
            <w:r w:rsidR="00EE5FA9" w:rsidRPr="00996E48">
              <w:rPr>
                <w:rFonts w:ascii="Arial Narrow" w:hAnsi="Arial Narrow"/>
                <w:sz w:val="22"/>
                <w:szCs w:val="22"/>
              </w:rPr>
              <w:t xml:space="preserve"> </w:t>
            </w:r>
          </w:p>
          <w:p w14:paraId="5B272AB8" w14:textId="0556BCB5" w:rsidR="00E17384" w:rsidRDefault="00303441" w:rsidP="00E17384">
            <w:pPr>
              <w:pStyle w:val="Default"/>
              <w:spacing w:before="120"/>
              <w:jc w:val="both"/>
              <w:rPr>
                <w:rFonts w:ascii="Arial Narrow" w:hAnsi="Arial Narrow"/>
                <w:sz w:val="22"/>
                <w:szCs w:val="22"/>
              </w:rPr>
            </w:pPr>
            <w:r>
              <w:rPr>
                <w:rFonts w:ascii="Arial Narrow" w:hAnsi="Arial Narrow"/>
                <w:sz w:val="22"/>
                <w:szCs w:val="22"/>
              </w:rPr>
              <w:t>Daraus ergeben sich folgende Kosten (brutto, ohne Verwurf)</w:t>
            </w:r>
            <w:r w:rsidR="00743B3C">
              <w:rPr>
                <w:rFonts w:ascii="Arial Narrow" w:hAnsi="Arial Narrow"/>
                <w:sz w:val="22"/>
                <w:szCs w:val="22"/>
              </w:rPr>
              <w:t>:</w:t>
            </w:r>
          </w:p>
          <w:p w14:paraId="0E593AFE" w14:textId="77777777" w:rsidR="00743B3C" w:rsidRDefault="00743B3C" w:rsidP="00E17384">
            <w:pPr>
              <w:pStyle w:val="Default"/>
              <w:spacing w:before="120"/>
              <w:jc w:val="both"/>
              <w:rPr>
                <w:rFonts w:ascii="Arial Narrow" w:hAnsi="Arial Narrow"/>
                <w:sz w:val="22"/>
                <w:szCs w:val="22"/>
              </w:rPr>
            </w:pPr>
          </w:p>
          <w:p w14:paraId="1B011773" w14:textId="3706A953" w:rsidR="00303441" w:rsidRDefault="00743B3C" w:rsidP="00743B3C">
            <w:pPr>
              <w:pStyle w:val="Default"/>
              <w:jc w:val="both"/>
              <w:rPr>
                <w:rFonts w:ascii="Arial Narrow" w:hAnsi="Arial Narrow"/>
                <w:sz w:val="22"/>
                <w:szCs w:val="22"/>
              </w:rPr>
            </w:pPr>
            <w:r>
              <w:rPr>
                <w:rFonts w:ascii="Arial Narrow" w:hAnsi="Arial Narrow"/>
                <w:sz w:val="22"/>
                <w:szCs w:val="22"/>
              </w:rPr>
              <w:t>Therapiedauer = 5 Tage</w:t>
            </w:r>
          </w:p>
          <w:p w14:paraId="6B0FAE3E" w14:textId="44549E5C"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7.140,00 € (erhöhte renale Clearance)</w:t>
            </w:r>
          </w:p>
          <w:p w14:paraId="694B5E2A" w14:textId="66DF3B4D"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5.355,00 € (Normale Nierenfunktion)</w:t>
            </w:r>
          </w:p>
          <w:p w14:paraId="2E375D13" w14:textId="10E05D7F"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4.016,25 € (Mäßige Nierenfunktionsstörung)</w:t>
            </w:r>
          </w:p>
          <w:p w14:paraId="72BDFE06" w14:textId="378722CD"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2.677,50 € (Schwere Nierenfunktionsstörung)</w:t>
            </w:r>
          </w:p>
          <w:p w14:paraId="2CFD7F8A" w14:textId="1BAD899E"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1.338,75 € (Terminale Nierenfunktionsstörung &amp; intermittierender Hämodialyse)</w:t>
            </w:r>
          </w:p>
          <w:p w14:paraId="4902E488" w14:textId="77777777" w:rsidR="00743B3C" w:rsidRDefault="00743B3C" w:rsidP="00743B3C">
            <w:pPr>
              <w:pStyle w:val="Default"/>
              <w:jc w:val="both"/>
              <w:rPr>
                <w:rFonts w:ascii="Arial Narrow" w:hAnsi="Arial Narrow"/>
                <w:sz w:val="22"/>
                <w:szCs w:val="22"/>
              </w:rPr>
            </w:pPr>
          </w:p>
          <w:p w14:paraId="5D19FCAF" w14:textId="03C95104" w:rsidR="00743B3C" w:rsidRDefault="00743B3C" w:rsidP="00743B3C">
            <w:pPr>
              <w:pStyle w:val="Default"/>
              <w:jc w:val="both"/>
              <w:rPr>
                <w:rFonts w:ascii="Arial Narrow" w:hAnsi="Arial Narrow"/>
                <w:sz w:val="22"/>
                <w:szCs w:val="22"/>
              </w:rPr>
            </w:pPr>
            <w:r>
              <w:rPr>
                <w:rFonts w:ascii="Arial Narrow" w:hAnsi="Arial Narrow"/>
                <w:sz w:val="22"/>
                <w:szCs w:val="22"/>
              </w:rPr>
              <w:t>Therapiedauer = 14 Tage</w:t>
            </w:r>
          </w:p>
          <w:p w14:paraId="48FFAE19" w14:textId="472A18DE" w:rsidR="00743B3C" w:rsidRDefault="00743B3C" w:rsidP="00743B3C">
            <w:pPr>
              <w:pStyle w:val="Default"/>
              <w:numPr>
                <w:ilvl w:val="0"/>
                <w:numId w:val="12"/>
              </w:numPr>
              <w:jc w:val="both"/>
              <w:rPr>
                <w:rFonts w:ascii="Arial Narrow" w:hAnsi="Arial Narrow"/>
                <w:sz w:val="22"/>
                <w:szCs w:val="22"/>
              </w:rPr>
            </w:pPr>
            <w:r>
              <w:rPr>
                <w:rFonts w:ascii="Arial Narrow" w:hAnsi="Arial Narrow"/>
                <w:sz w:val="22"/>
                <w:szCs w:val="22"/>
              </w:rPr>
              <w:t>19.</w:t>
            </w:r>
            <w:r w:rsidR="000C38A2">
              <w:rPr>
                <w:rFonts w:ascii="Arial Narrow" w:hAnsi="Arial Narrow"/>
                <w:sz w:val="22"/>
                <w:szCs w:val="22"/>
              </w:rPr>
              <w:t>992</w:t>
            </w:r>
            <w:r>
              <w:rPr>
                <w:rFonts w:ascii="Arial Narrow" w:hAnsi="Arial Narrow"/>
                <w:sz w:val="22"/>
                <w:szCs w:val="22"/>
              </w:rPr>
              <w:t>,00 € (erhöhte renale Clearance)</w:t>
            </w:r>
          </w:p>
          <w:p w14:paraId="13C6DDD6" w14:textId="35B32E73"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14.994</w:t>
            </w:r>
            <w:r w:rsidR="00743B3C">
              <w:rPr>
                <w:rFonts w:ascii="Arial Narrow" w:hAnsi="Arial Narrow"/>
                <w:sz w:val="22"/>
                <w:szCs w:val="22"/>
              </w:rPr>
              <w:t>,00 € (Normale Nierenfunktion)</w:t>
            </w:r>
          </w:p>
          <w:p w14:paraId="4F390BAB" w14:textId="7DD2FDF9"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11.245,</w:t>
            </w:r>
            <w:r w:rsidR="00743B3C">
              <w:rPr>
                <w:rFonts w:ascii="Arial Narrow" w:hAnsi="Arial Narrow"/>
                <w:sz w:val="22"/>
                <w:szCs w:val="22"/>
              </w:rPr>
              <w:t>5</w:t>
            </w:r>
            <w:r>
              <w:rPr>
                <w:rFonts w:ascii="Arial Narrow" w:hAnsi="Arial Narrow"/>
                <w:sz w:val="22"/>
                <w:szCs w:val="22"/>
              </w:rPr>
              <w:t>0</w:t>
            </w:r>
            <w:r w:rsidR="00743B3C">
              <w:rPr>
                <w:rFonts w:ascii="Arial Narrow" w:hAnsi="Arial Narrow"/>
                <w:sz w:val="22"/>
                <w:szCs w:val="22"/>
              </w:rPr>
              <w:t xml:space="preserve"> € (Mäßige Nierenfunktionsstörung)</w:t>
            </w:r>
          </w:p>
          <w:p w14:paraId="5A819069" w14:textId="022DC324"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7.497,00</w:t>
            </w:r>
            <w:r w:rsidR="00743B3C">
              <w:rPr>
                <w:rFonts w:ascii="Arial Narrow" w:hAnsi="Arial Narrow"/>
                <w:sz w:val="22"/>
                <w:szCs w:val="22"/>
              </w:rPr>
              <w:t xml:space="preserve"> € (Schwere Nierenfunktionsstörung)</w:t>
            </w:r>
          </w:p>
          <w:p w14:paraId="378DFE90" w14:textId="2470D911" w:rsidR="00743B3C" w:rsidRPr="00996E48"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3.748,50</w:t>
            </w:r>
            <w:r w:rsidR="00743B3C">
              <w:rPr>
                <w:rFonts w:ascii="Arial Narrow" w:hAnsi="Arial Narrow"/>
                <w:sz w:val="22"/>
                <w:szCs w:val="22"/>
              </w:rPr>
              <w:t xml:space="preserve"> € (Terminale Nierenfunktionsstörung &amp; intermittierender Hämodialyse)</w:t>
            </w:r>
          </w:p>
          <w:p w14:paraId="774CEC81" w14:textId="77777777" w:rsidR="00743B3C" w:rsidRDefault="00743B3C" w:rsidP="00743B3C">
            <w:pPr>
              <w:pStyle w:val="Default"/>
              <w:jc w:val="both"/>
              <w:rPr>
                <w:rFonts w:ascii="Arial Narrow" w:hAnsi="Arial Narrow"/>
                <w:sz w:val="22"/>
                <w:szCs w:val="22"/>
              </w:rPr>
            </w:pPr>
          </w:p>
          <w:p w14:paraId="230510B6" w14:textId="71CF6FF1" w:rsidR="00743B3C" w:rsidRDefault="00743B3C" w:rsidP="00743B3C">
            <w:pPr>
              <w:pStyle w:val="Default"/>
              <w:jc w:val="both"/>
              <w:rPr>
                <w:rFonts w:ascii="Arial Narrow" w:hAnsi="Arial Narrow"/>
                <w:sz w:val="22"/>
                <w:szCs w:val="22"/>
              </w:rPr>
            </w:pPr>
            <w:r>
              <w:rPr>
                <w:rFonts w:ascii="Arial Narrow" w:hAnsi="Arial Narrow"/>
                <w:sz w:val="22"/>
                <w:szCs w:val="22"/>
              </w:rPr>
              <w:t xml:space="preserve">Therapiedauer = </w:t>
            </w:r>
            <w:r w:rsidR="00212506">
              <w:rPr>
                <w:rFonts w:ascii="Arial Narrow" w:hAnsi="Arial Narrow"/>
                <w:sz w:val="22"/>
                <w:szCs w:val="22"/>
              </w:rPr>
              <w:t>21</w:t>
            </w:r>
            <w:r>
              <w:rPr>
                <w:rFonts w:ascii="Arial Narrow" w:hAnsi="Arial Narrow"/>
                <w:sz w:val="22"/>
                <w:szCs w:val="22"/>
              </w:rPr>
              <w:t xml:space="preserve"> Tage</w:t>
            </w:r>
          </w:p>
          <w:p w14:paraId="145EC9BF" w14:textId="1D87F257"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29.988</w:t>
            </w:r>
            <w:r w:rsidR="00743B3C">
              <w:rPr>
                <w:rFonts w:ascii="Arial Narrow" w:hAnsi="Arial Narrow"/>
                <w:sz w:val="22"/>
                <w:szCs w:val="22"/>
              </w:rPr>
              <w:t>,00 € (erhöhte renale Clearance)</w:t>
            </w:r>
          </w:p>
          <w:p w14:paraId="136E5DA3" w14:textId="5DACD33A"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22.491</w:t>
            </w:r>
            <w:r w:rsidR="00743B3C">
              <w:rPr>
                <w:rFonts w:ascii="Arial Narrow" w:hAnsi="Arial Narrow"/>
                <w:sz w:val="22"/>
                <w:szCs w:val="22"/>
              </w:rPr>
              <w:t>,00 € (Normale Nierenfunktion)</w:t>
            </w:r>
          </w:p>
          <w:p w14:paraId="0C0AE101" w14:textId="33732C0D" w:rsidR="00743B3C" w:rsidRDefault="000C38A2" w:rsidP="00743B3C">
            <w:pPr>
              <w:pStyle w:val="Default"/>
              <w:numPr>
                <w:ilvl w:val="0"/>
                <w:numId w:val="12"/>
              </w:numPr>
              <w:jc w:val="both"/>
              <w:rPr>
                <w:rFonts w:ascii="Arial Narrow" w:hAnsi="Arial Narrow"/>
                <w:sz w:val="22"/>
                <w:szCs w:val="22"/>
              </w:rPr>
            </w:pPr>
            <w:r>
              <w:rPr>
                <w:rFonts w:ascii="Arial Narrow" w:hAnsi="Arial Narrow"/>
                <w:sz w:val="22"/>
                <w:szCs w:val="22"/>
              </w:rPr>
              <w:t>16.868</w:t>
            </w:r>
            <w:r w:rsidR="00743B3C">
              <w:rPr>
                <w:rFonts w:ascii="Arial Narrow" w:hAnsi="Arial Narrow"/>
                <w:sz w:val="22"/>
                <w:szCs w:val="22"/>
              </w:rPr>
              <w:t>,25 € (Mäßige Nierenfunktionsstörung)</w:t>
            </w:r>
          </w:p>
          <w:p w14:paraId="18668BFA" w14:textId="79DB208B" w:rsidR="00743B3C" w:rsidRDefault="00212506" w:rsidP="00743B3C">
            <w:pPr>
              <w:pStyle w:val="Default"/>
              <w:numPr>
                <w:ilvl w:val="0"/>
                <w:numId w:val="12"/>
              </w:numPr>
              <w:jc w:val="both"/>
              <w:rPr>
                <w:rFonts w:ascii="Arial Narrow" w:hAnsi="Arial Narrow"/>
                <w:sz w:val="22"/>
                <w:szCs w:val="22"/>
              </w:rPr>
            </w:pPr>
            <w:r>
              <w:rPr>
                <w:rFonts w:ascii="Arial Narrow" w:hAnsi="Arial Narrow"/>
                <w:sz w:val="22"/>
                <w:szCs w:val="22"/>
              </w:rPr>
              <w:t>11.245</w:t>
            </w:r>
            <w:r w:rsidR="00743B3C">
              <w:rPr>
                <w:rFonts w:ascii="Arial Narrow" w:hAnsi="Arial Narrow"/>
                <w:sz w:val="22"/>
                <w:szCs w:val="22"/>
              </w:rPr>
              <w:t>,50 € (Schwere Nierenfunktionsstörung)</w:t>
            </w:r>
          </w:p>
          <w:p w14:paraId="3114BA88" w14:textId="7FA2ED50" w:rsidR="00743B3C" w:rsidRPr="00996E48" w:rsidRDefault="00212506" w:rsidP="00743B3C">
            <w:pPr>
              <w:pStyle w:val="Default"/>
              <w:numPr>
                <w:ilvl w:val="0"/>
                <w:numId w:val="12"/>
              </w:numPr>
              <w:jc w:val="both"/>
              <w:rPr>
                <w:rFonts w:ascii="Arial Narrow" w:hAnsi="Arial Narrow"/>
                <w:sz w:val="22"/>
                <w:szCs w:val="22"/>
              </w:rPr>
            </w:pPr>
            <w:r>
              <w:rPr>
                <w:rFonts w:ascii="Arial Narrow" w:hAnsi="Arial Narrow"/>
                <w:sz w:val="22"/>
                <w:szCs w:val="22"/>
              </w:rPr>
              <w:t>5.622</w:t>
            </w:r>
            <w:r w:rsidR="00743B3C">
              <w:rPr>
                <w:rFonts w:ascii="Arial Narrow" w:hAnsi="Arial Narrow"/>
                <w:sz w:val="22"/>
                <w:szCs w:val="22"/>
              </w:rPr>
              <w:t>,75 € (Terminale Nierenfunktionsstörung &amp; intermittierender Hämodialyse)</w:t>
            </w:r>
          </w:p>
          <w:p w14:paraId="5A37A014" w14:textId="77777777" w:rsidR="00743B3C" w:rsidRPr="00996E48" w:rsidRDefault="00743B3C" w:rsidP="00743B3C">
            <w:pPr>
              <w:pStyle w:val="Default"/>
              <w:jc w:val="both"/>
              <w:rPr>
                <w:rFonts w:ascii="Arial Narrow" w:hAnsi="Arial Narrow"/>
                <w:sz w:val="22"/>
                <w:szCs w:val="22"/>
              </w:rPr>
            </w:pPr>
          </w:p>
          <w:p w14:paraId="4003128E" w14:textId="5CBF1555" w:rsidR="00E55D72" w:rsidRPr="00BC1302" w:rsidRDefault="00BC1302" w:rsidP="00BC1302">
            <w:pPr>
              <w:rPr>
                <w:rFonts w:ascii="Arial Narrow" w:hAnsi="Arial Narrow"/>
                <w:sz w:val="22"/>
                <w:szCs w:val="22"/>
                <w:u w:val="single"/>
              </w:rPr>
            </w:pPr>
            <w:r w:rsidRPr="00BC1302">
              <w:rPr>
                <w:rFonts w:ascii="Arial Narrow" w:hAnsi="Arial Narrow"/>
                <w:sz w:val="22"/>
                <w:szCs w:val="22"/>
                <w:u w:val="single"/>
              </w:rPr>
              <w:t>Personalkosten</w:t>
            </w:r>
          </w:p>
          <w:p w14:paraId="42829F47" w14:textId="77777777" w:rsidR="00156FE0" w:rsidRDefault="008C257C" w:rsidP="008D510A">
            <w:pPr>
              <w:rPr>
                <w:rFonts w:ascii="Arial Narrow" w:hAnsi="Arial Narrow"/>
                <w:sz w:val="22"/>
              </w:rPr>
            </w:pPr>
            <w:r w:rsidRPr="008C257C">
              <w:rPr>
                <w:rFonts w:ascii="Arial Narrow" w:hAnsi="Arial Narrow"/>
                <w:sz w:val="22"/>
              </w:rPr>
              <w:t>Da die Infusionslösung Cefiderocol aus einem Pulver hergestellt werden muss und intravenös appliziert wird, fallen zusätzlich Personalkosten an. Grundsätzlich ist der Zeitaufwand bei parenteralen Applikationsformen im Vergleich zu Tabletten erhöht. Weiterhin erfordert der Einsatz von Cefiderocol nach 4.4 der Fachinformation eine Prüfung der Nierenfunktion vor dem Beginn der Therapie, die mit zusätzlichem Zeitaufwand verbunden ist. Die Nierenfunktion muss außerdem auch im Verlauf der Therapie in regelmäßigen Abständen überwacht werden, da im Verlauf der Therapie Dosisanpassungen erforderlich sein können</w:t>
            </w:r>
            <w:r>
              <w:rPr>
                <w:rFonts w:ascii="Arial Narrow" w:hAnsi="Arial Narrow"/>
                <w:sz w:val="22"/>
              </w:rPr>
              <w:t>.</w:t>
            </w:r>
          </w:p>
          <w:p w14:paraId="3A5AFF6F" w14:textId="77777777" w:rsidR="008C257C" w:rsidRDefault="008C257C" w:rsidP="008D510A">
            <w:pPr>
              <w:rPr>
                <w:rFonts w:ascii="Arial Narrow" w:hAnsi="Arial Narrow"/>
                <w:sz w:val="22"/>
              </w:rPr>
            </w:pPr>
          </w:p>
          <w:p w14:paraId="299B64CB" w14:textId="04538814" w:rsidR="009C130A" w:rsidRPr="009C130A" w:rsidRDefault="009C130A" w:rsidP="009C130A">
            <w:pPr>
              <w:rPr>
                <w:rFonts w:ascii="Arial Narrow" w:hAnsi="Arial Narrow"/>
                <w:sz w:val="22"/>
                <w:szCs w:val="22"/>
              </w:rPr>
            </w:pPr>
            <w:r w:rsidRPr="009C130A">
              <w:rPr>
                <w:rFonts w:ascii="Arial Narrow" w:hAnsi="Arial Narrow"/>
                <w:sz w:val="22"/>
                <w:szCs w:val="22"/>
                <w:u w:val="single"/>
              </w:rPr>
              <w:t xml:space="preserve">Besonderer Aufwand durch die Auflagen im Rahmen der qualitätsgesicherten Anwendung von </w:t>
            </w:r>
            <w:r>
              <w:rPr>
                <w:rFonts w:ascii="Arial Narrow" w:hAnsi="Arial Narrow"/>
                <w:sz w:val="22"/>
                <w:szCs w:val="22"/>
                <w:u w:val="single"/>
              </w:rPr>
              <w:t>R</w:t>
            </w:r>
            <w:r w:rsidRPr="009C130A">
              <w:rPr>
                <w:rFonts w:ascii="Arial Narrow" w:hAnsi="Arial Narrow"/>
                <w:sz w:val="22"/>
                <w:szCs w:val="22"/>
                <w:u w:val="single"/>
              </w:rPr>
              <w:t>eserveantibiotika</w:t>
            </w:r>
            <w:r w:rsidRPr="009C130A">
              <w:rPr>
                <w:rFonts w:ascii="Arial Narrow" w:hAnsi="Arial Narrow"/>
                <w:sz w:val="22"/>
                <w:szCs w:val="22"/>
              </w:rPr>
              <w:t>:</w:t>
            </w:r>
          </w:p>
          <w:p w14:paraId="7D03D20B" w14:textId="49768E1F" w:rsidR="008C257C" w:rsidRPr="001774E7" w:rsidRDefault="009C130A" w:rsidP="009C130A">
            <w:pPr>
              <w:rPr>
                <w:rFonts w:ascii="Arial Narrow" w:hAnsi="Arial Narrow"/>
                <w:color w:val="548DD4" w:themeColor="text2" w:themeTint="99"/>
              </w:rPr>
            </w:pPr>
            <w:r w:rsidRPr="009C130A">
              <w:rPr>
                <w:rFonts w:ascii="Arial Narrow" w:hAnsi="Arial Narrow"/>
                <w:sz w:val="22"/>
                <w:szCs w:val="22"/>
              </w:rPr>
              <w:t>Durch Beschluss des Gemeinsamen Bundesausschusses (G-BA) vom 5. Mai 2022 sind für den Wirkstoff Cefiderocol - erstmals für ein Reserveantibiotikum - Maßnahmen zur qualitätsgesicherten Anwendung erforderlich, die gegenüber herkömmlichen Antibiotika einen erheblichen Mehraufwand bedeuten. So ist vor der Anwendung in der Regel ein Erregernachweis zu führen und das Ansprechen anderer Antibiotika zu überprüfen. Weiterhin muss der Einsatz von Cefiderocol in den krankenhausinternen Antibiotic-Stewardship-Programmen implementiert und überwacht werden. Die Anwendung im Einzelfall ist weiterhin an lokale Freigaberegelungen gebunden, die administriert werden müssen. Nicht zuletzt muss der Einsatz von Cefiderocol an die Systeme AVS (Antibiotika-Verbrauchs-Surveillance), ARS (Antibiotika-Resistenz-Surveillance) oder ARVIA (ARS und AVS-Integrierte Analyse) des Robert Koch-Instituts gemeldet werden. Mit der Umsetzung der Anforderungen wird der verantwortungsvolle und zielgerichtete Einsatz des Reserveantibiotikums Cefiderocol abgesichert</w:t>
            </w:r>
            <w:r w:rsidRPr="009C130A">
              <w:rPr>
                <w:rFonts w:ascii="Arial Narrow" w:hAnsi="Arial Narrow"/>
                <w:color w:val="548DD4" w:themeColor="text2" w:themeTint="99"/>
              </w:rPr>
              <w: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2AB7D574" w14:textId="73BCF499" w:rsidR="006043E6" w:rsidRDefault="006043E6" w:rsidP="005638EB">
            <w:pPr>
              <w:rPr>
                <w:rFonts w:ascii="Arial Narrow" w:hAnsi="Arial Narrow"/>
                <w:sz w:val="22"/>
                <w:szCs w:val="22"/>
              </w:rPr>
            </w:pPr>
            <w:r>
              <w:rPr>
                <w:rFonts w:ascii="Arial Narrow" w:hAnsi="Arial Narrow"/>
                <w:sz w:val="22"/>
                <w:szCs w:val="22"/>
              </w:rPr>
              <w:t>A09A</w:t>
            </w:r>
          </w:p>
          <w:p w14:paraId="0A371DFF" w14:textId="77777777" w:rsidR="006043E6" w:rsidRDefault="006043E6" w:rsidP="005638EB">
            <w:pPr>
              <w:rPr>
                <w:rFonts w:ascii="Arial Narrow" w:hAnsi="Arial Narrow"/>
                <w:sz w:val="22"/>
                <w:szCs w:val="22"/>
              </w:rPr>
            </w:pPr>
            <w:r>
              <w:rPr>
                <w:rFonts w:ascii="Arial Narrow" w:hAnsi="Arial Narrow"/>
                <w:sz w:val="22"/>
                <w:szCs w:val="22"/>
              </w:rPr>
              <w:t>A11A</w:t>
            </w:r>
          </w:p>
          <w:p w14:paraId="6ED692BC" w14:textId="77777777" w:rsidR="006043E6" w:rsidRDefault="009960A3" w:rsidP="005638EB">
            <w:pPr>
              <w:rPr>
                <w:rFonts w:ascii="Arial Narrow" w:hAnsi="Arial Narrow"/>
                <w:sz w:val="22"/>
                <w:szCs w:val="22"/>
              </w:rPr>
            </w:pPr>
            <w:r>
              <w:rPr>
                <w:rFonts w:ascii="Arial Narrow" w:hAnsi="Arial Narrow"/>
                <w:sz w:val="22"/>
                <w:szCs w:val="22"/>
              </w:rPr>
              <w:t>A09B</w:t>
            </w:r>
          </w:p>
          <w:p w14:paraId="0542D282" w14:textId="77777777" w:rsidR="009960A3" w:rsidRDefault="009960A3" w:rsidP="005638EB">
            <w:pPr>
              <w:rPr>
                <w:rFonts w:ascii="Arial Narrow" w:hAnsi="Arial Narrow"/>
                <w:sz w:val="22"/>
                <w:szCs w:val="22"/>
              </w:rPr>
            </w:pPr>
            <w:r>
              <w:rPr>
                <w:rFonts w:ascii="Arial Narrow" w:hAnsi="Arial Narrow"/>
                <w:sz w:val="22"/>
                <w:szCs w:val="22"/>
              </w:rPr>
              <w:t>A04D</w:t>
            </w:r>
          </w:p>
          <w:p w14:paraId="191FCED6" w14:textId="77777777" w:rsidR="009960A3" w:rsidRDefault="009960A3" w:rsidP="005638EB">
            <w:pPr>
              <w:rPr>
                <w:rFonts w:ascii="Arial Narrow" w:hAnsi="Arial Narrow"/>
                <w:sz w:val="22"/>
                <w:szCs w:val="22"/>
              </w:rPr>
            </w:pPr>
            <w:r>
              <w:rPr>
                <w:rFonts w:ascii="Arial Narrow" w:hAnsi="Arial Narrow"/>
                <w:sz w:val="22"/>
                <w:szCs w:val="22"/>
              </w:rPr>
              <w:t>A07B</w:t>
            </w:r>
          </w:p>
          <w:p w14:paraId="165CF792" w14:textId="77777777" w:rsidR="009960A3" w:rsidRDefault="009960A3" w:rsidP="005638EB">
            <w:pPr>
              <w:rPr>
                <w:rFonts w:ascii="Arial Narrow" w:hAnsi="Arial Narrow"/>
                <w:sz w:val="22"/>
                <w:szCs w:val="22"/>
              </w:rPr>
            </w:pPr>
            <w:r>
              <w:rPr>
                <w:rFonts w:ascii="Arial Narrow" w:hAnsi="Arial Narrow"/>
                <w:sz w:val="22"/>
                <w:szCs w:val="22"/>
              </w:rPr>
              <w:t>A11E</w:t>
            </w:r>
          </w:p>
          <w:p w14:paraId="10D9F9CA" w14:textId="77777777" w:rsidR="009960A3" w:rsidRDefault="000217E3" w:rsidP="005638EB">
            <w:pPr>
              <w:rPr>
                <w:rFonts w:ascii="Arial Narrow" w:hAnsi="Arial Narrow"/>
                <w:sz w:val="22"/>
                <w:szCs w:val="22"/>
              </w:rPr>
            </w:pPr>
            <w:r>
              <w:rPr>
                <w:rFonts w:ascii="Arial Narrow" w:hAnsi="Arial Narrow"/>
                <w:sz w:val="22"/>
                <w:szCs w:val="22"/>
              </w:rPr>
              <w:t>A04E</w:t>
            </w:r>
          </w:p>
          <w:p w14:paraId="61C8A801" w14:textId="77777777" w:rsidR="000217E3" w:rsidRDefault="000217E3" w:rsidP="005638EB">
            <w:pPr>
              <w:rPr>
                <w:rFonts w:ascii="Arial Narrow" w:hAnsi="Arial Narrow"/>
                <w:sz w:val="22"/>
                <w:szCs w:val="22"/>
              </w:rPr>
            </w:pPr>
            <w:r>
              <w:rPr>
                <w:rFonts w:ascii="Arial Narrow" w:hAnsi="Arial Narrow"/>
                <w:sz w:val="22"/>
                <w:szCs w:val="22"/>
              </w:rPr>
              <w:t>A06B</w:t>
            </w:r>
          </w:p>
          <w:p w14:paraId="1472D0DA" w14:textId="77777777" w:rsidR="000217E3" w:rsidRDefault="000217E3" w:rsidP="005638EB">
            <w:pPr>
              <w:rPr>
                <w:rFonts w:ascii="Arial Narrow" w:hAnsi="Arial Narrow"/>
                <w:sz w:val="22"/>
                <w:szCs w:val="22"/>
              </w:rPr>
            </w:pPr>
            <w:r>
              <w:rPr>
                <w:rFonts w:ascii="Arial Narrow" w:hAnsi="Arial Narrow"/>
                <w:sz w:val="22"/>
                <w:szCs w:val="22"/>
              </w:rPr>
              <w:t>A13A</w:t>
            </w:r>
          </w:p>
          <w:p w14:paraId="7B4F50C6" w14:textId="77777777" w:rsidR="000217E3" w:rsidRDefault="000217E3" w:rsidP="005638EB">
            <w:pPr>
              <w:rPr>
                <w:rFonts w:ascii="Arial Narrow" w:hAnsi="Arial Narrow"/>
                <w:sz w:val="22"/>
                <w:szCs w:val="22"/>
              </w:rPr>
            </w:pPr>
            <w:r>
              <w:rPr>
                <w:rFonts w:ascii="Arial Narrow" w:hAnsi="Arial Narrow"/>
                <w:sz w:val="22"/>
                <w:szCs w:val="22"/>
              </w:rPr>
              <w:lastRenderedPageBreak/>
              <w:t>A06A</w:t>
            </w:r>
          </w:p>
          <w:p w14:paraId="1141AD79" w14:textId="77777777" w:rsidR="000217E3" w:rsidRDefault="000217E3" w:rsidP="005638EB">
            <w:pPr>
              <w:rPr>
                <w:rFonts w:ascii="Arial Narrow" w:hAnsi="Arial Narrow"/>
                <w:sz w:val="22"/>
                <w:szCs w:val="22"/>
              </w:rPr>
            </w:pPr>
            <w:r>
              <w:rPr>
                <w:rFonts w:ascii="Arial Narrow" w:hAnsi="Arial Narrow"/>
                <w:sz w:val="22"/>
                <w:szCs w:val="22"/>
              </w:rPr>
              <w:t>A07C</w:t>
            </w:r>
          </w:p>
          <w:p w14:paraId="6FF2479C" w14:textId="77777777" w:rsidR="000217E3" w:rsidRDefault="000217E3" w:rsidP="005638EB">
            <w:pPr>
              <w:rPr>
                <w:rFonts w:ascii="Arial Narrow" w:hAnsi="Arial Narrow"/>
                <w:sz w:val="22"/>
                <w:szCs w:val="22"/>
              </w:rPr>
            </w:pPr>
            <w:r>
              <w:rPr>
                <w:rFonts w:ascii="Arial Narrow" w:hAnsi="Arial Narrow"/>
                <w:sz w:val="22"/>
                <w:szCs w:val="22"/>
              </w:rPr>
              <w:t>A09C</w:t>
            </w:r>
          </w:p>
          <w:p w14:paraId="4E3D23BB" w14:textId="77777777" w:rsidR="000217E3" w:rsidRDefault="000217E3" w:rsidP="005638EB">
            <w:pPr>
              <w:rPr>
                <w:rFonts w:ascii="Arial Narrow" w:hAnsi="Arial Narrow"/>
                <w:sz w:val="22"/>
                <w:szCs w:val="22"/>
              </w:rPr>
            </w:pPr>
            <w:r>
              <w:rPr>
                <w:rFonts w:ascii="Arial Narrow" w:hAnsi="Arial Narrow"/>
                <w:sz w:val="22"/>
                <w:szCs w:val="22"/>
              </w:rPr>
              <w:t>A3</w:t>
            </w:r>
            <w:r w:rsidR="00C314EA">
              <w:rPr>
                <w:rFonts w:ascii="Arial Narrow" w:hAnsi="Arial Narrow"/>
                <w:sz w:val="22"/>
                <w:szCs w:val="22"/>
              </w:rPr>
              <w:t>6B</w:t>
            </w:r>
          </w:p>
          <w:p w14:paraId="3FDE8751" w14:textId="0FEA8FC2" w:rsidR="00C314EA" w:rsidRPr="00A100DC" w:rsidRDefault="00C314EA" w:rsidP="005638EB">
            <w:pPr>
              <w:rPr>
                <w:rFonts w:ascii="Arial Narrow" w:hAnsi="Arial Narrow"/>
                <w:color w:val="00B050"/>
                <w:sz w:val="22"/>
              </w:rPr>
            </w:pPr>
            <w:r>
              <w:rPr>
                <w:rFonts w:ascii="Arial Narrow" w:hAnsi="Arial Narrow"/>
                <w:sz w:val="22"/>
                <w:szCs w:val="22"/>
              </w:rPr>
              <w:t>A36A</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6E45F02E" w14:textId="5FE6A91A" w:rsidR="00E16A3B" w:rsidRDefault="00737A54" w:rsidP="00737A54">
            <w:pPr>
              <w:jc w:val="both"/>
              <w:rPr>
                <w:rFonts w:ascii="Arial Narrow" w:hAnsi="Arial Narrow"/>
                <w:sz w:val="22"/>
                <w:szCs w:val="22"/>
              </w:rPr>
            </w:pPr>
            <w:r w:rsidRPr="00200086">
              <w:rPr>
                <w:rFonts w:ascii="Arial Narrow" w:hAnsi="Arial Narrow"/>
                <w:sz w:val="22"/>
                <w:szCs w:val="22"/>
              </w:rPr>
              <w:t xml:space="preserve">Cefiderocol wurde im Jahr 2020 zugelassen und ist seit dem 15.01.2021 in Deutschland auf dem Markt. </w:t>
            </w:r>
            <w:r w:rsidR="001F50BC" w:rsidRPr="001F50BC">
              <w:rPr>
                <w:rFonts w:ascii="Arial Narrow" w:hAnsi="Arial Narrow"/>
                <w:sz w:val="22"/>
                <w:szCs w:val="22"/>
              </w:rPr>
              <w:t>Eine Kalkulation des Verfahrens im DRG-System bzw. als Zusatzentgelt ist aufgrund der erst im Jahr 2024 etablierten OPS-Kodes derzeit noch nicht möglich.</w:t>
            </w:r>
          </w:p>
          <w:p w14:paraId="1E4141EB" w14:textId="77777777" w:rsidR="001F50BC" w:rsidRPr="00200086" w:rsidRDefault="001F50BC" w:rsidP="00737A54">
            <w:pPr>
              <w:jc w:val="both"/>
              <w:rPr>
                <w:rFonts w:ascii="Arial Narrow" w:hAnsi="Arial Narrow"/>
                <w:sz w:val="22"/>
                <w:szCs w:val="22"/>
              </w:rPr>
            </w:pPr>
          </w:p>
          <w:p w14:paraId="2FE8D2F7" w14:textId="487F21BC" w:rsidR="00737A54" w:rsidRPr="00200086" w:rsidRDefault="00737A54" w:rsidP="00737A54">
            <w:pPr>
              <w:jc w:val="both"/>
              <w:rPr>
                <w:rFonts w:ascii="Arial Narrow" w:hAnsi="Arial Narrow"/>
                <w:sz w:val="22"/>
                <w:szCs w:val="22"/>
              </w:rPr>
            </w:pPr>
            <w:r w:rsidRPr="00200086">
              <w:rPr>
                <w:rFonts w:ascii="Arial Narrow" w:hAnsi="Arial Narrow"/>
                <w:sz w:val="22"/>
                <w:szCs w:val="22"/>
              </w:rPr>
              <w:t>Die zusätzlichen Kosten von</w:t>
            </w:r>
            <w:r w:rsidR="00C515AD" w:rsidRPr="009E40FC">
              <w:rPr>
                <w:rFonts w:ascii="Arial Narrow" w:hAnsi="Arial Narrow"/>
                <w:sz w:val="22"/>
                <w:szCs w:val="22"/>
              </w:rPr>
              <w:t xml:space="preserve"> </w:t>
            </w:r>
            <w:r w:rsidR="004A2CD7">
              <w:rPr>
                <w:rFonts w:ascii="Arial Narrow" w:hAnsi="Arial Narrow"/>
                <w:sz w:val="22"/>
                <w:szCs w:val="22"/>
              </w:rPr>
              <w:t xml:space="preserve">bis zu </w:t>
            </w:r>
            <w:r w:rsidR="00C515AD" w:rsidRPr="009E40FC">
              <w:rPr>
                <w:rFonts w:ascii="Arial Narrow" w:hAnsi="Arial Narrow"/>
                <w:sz w:val="22"/>
                <w:szCs w:val="22"/>
              </w:rPr>
              <w:t>29.988 €</w:t>
            </w:r>
            <w:r w:rsidR="00F253C6">
              <w:rPr>
                <w:rFonts w:ascii="Arial Narrow" w:hAnsi="Arial Narrow"/>
                <w:sz w:val="22"/>
                <w:szCs w:val="22"/>
              </w:rPr>
              <w:t xml:space="preserve"> bei Verabreichung der Maximaldosis (4 x 2g pro Tag über 21 Tage)</w:t>
            </w:r>
            <w:r w:rsidRPr="006D7E60">
              <w:rPr>
                <w:rFonts w:ascii="Arial Narrow" w:hAnsi="Arial Narrow"/>
                <w:sz w:val="22"/>
                <w:szCs w:val="22"/>
              </w:rPr>
              <w:t xml:space="preserve"> sind mit der Fallpauschale allein nicht</w:t>
            </w:r>
            <w:r w:rsidR="00B96040">
              <w:rPr>
                <w:rFonts w:ascii="Arial Narrow" w:hAnsi="Arial Narrow"/>
                <w:sz w:val="22"/>
                <w:szCs w:val="22"/>
              </w:rPr>
              <w:t xml:space="preserve"> ausreichend</w:t>
            </w:r>
            <w:r w:rsidRPr="006D7E60">
              <w:rPr>
                <w:rFonts w:ascii="Arial Narrow" w:hAnsi="Arial Narrow"/>
                <w:sz w:val="22"/>
                <w:szCs w:val="22"/>
              </w:rPr>
              <w:t xml:space="preserve"> abgebildet. Insbesondere bei längerer </w:t>
            </w:r>
            <w:r w:rsidR="00771B74">
              <w:rPr>
                <w:rFonts w:ascii="Arial Narrow" w:hAnsi="Arial Narrow"/>
                <w:sz w:val="22"/>
                <w:szCs w:val="22"/>
              </w:rPr>
              <w:t xml:space="preserve">Therapiedauer </w:t>
            </w:r>
            <w:r w:rsidRPr="006D7E60">
              <w:rPr>
                <w:rFonts w:ascii="Arial Narrow" w:hAnsi="Arial Narrow"/>
                <w:sz w:val="22"/>
                <w:szCs w:val="22"/>
              </w:rPr>
              <w:t>entstehen sehr hohe und nicht refinanzierte Therapiekosten mit finanziellen Verlusten für das behandelnde Krankenhaus.</w:t>
            </w:r>
            <w:r>
              <w:rPr>
                <w:rFonts w:ascii="Arial Narrow" w:hAnsi="Arial Narrow"/>
                <w:sz w:val="22"/>
                <w:szCs w:val="22"/>
              </w:rPr>
              <w:t xml:space="preserve"> </w:t>
            </w:r>
          </w:p>
          <w:p w14:paraId="222643B9" w14:textId="226C76D8" w:rsidR="00737A54" w:rsidRPr="00BA14F7" w:rsidRDefault="00737A54" w:rsidP="00737A54">
            <w:pPr>
              <w:rPr>
                <w:rFonts w:ascii="Arial Narrow" w:hAnsi="Arial Narrow"/>
                <w:sz w:val="22"/>
                <w:szCs w:val="22"/>
              </w:rPr>
            </w:pPr>
            <w:r w:rsidRPr="00200086">
              <w:rPr>
                <w:rFonts w:ascii="Arial Narrow" w:hAnsi="Arial Narrow"/>
                <w:sz w:val="22"/>
                <w:szCs w:val="22"/>
              </w:rPr>
              <w:t xml:space="preserve">Cefiderocol ist bisher im </w:t>
            </w:r>
            <w:r w:rsidRPr="00624F94">
              <w:rPr>
                <w:rFonts w:ascii="Arial Narrow" w:hAnsi="Arial Narrow"/>
                <w:sz w:val="22"/>
                <w:szCs w:val="22"/>
              </w:rPr>
              <w:t>ZE-Katalog</w:t>
            </w:r>
            <w:r w:rsidRPr="00200086">
              <w:rPr>
                <w:rFonts w:ascii="Arial Narrow" w:hAnsi="Arial Narrow"/>
                <w:sz w:val="22"/>
                <w:szCs w:val="22"/>
              </w:rPr>
              <w:t xml:space="preserve"> nicht enthalte</w:t>
            </w:r>
            <w:r>
              <w:rPr>
                <w:rFonts w:ascii="Arial Narrow" w:hAnsi="Arial Narrow"/>
                <w:sz w:val="22"/>
                <w:szCs w:val="22"/>
              </w:rPr>
              <w:t>n und a</w:t>
            </w:r>
            <w:r w:rsidRPr="00200086">
              <w:rPr>
                <w:rFonts w:ascii="Arial Narrow" w:hAnsi="Arial Narrow"/>
                <w:sz w:val="22"/>
                <w:szCs w:val="22"/>
              </w:rPr>
              <w:t>ufgrund der hohen Kosten des Medikaments kommt es zu einer Unterfinanzierung in den betroffenen DRG</w:t>
            </w:r>
            <w:r>
              <w:rPr>
                <w:rFonts w:ascii="Arial Narrow" w:hAnsi="Arial Narrow"/>
                <w:sz w:val="22"/>
                <w:szCs w:val="22"/>
              </w:rPr>
              <w:t>s</w:t>
            </w:r>
            <w:r w:rsidRPr="00200086">
              <w:rPr>
                <w:rFonts w:ascii="Arial Narrow" w:hAnsi="Arial Narrow"/>
                <w:sz w:val="22"/>
                <w:szCs w:val="22"/>
              </w:rPr>
              <w:t>.</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D52B" w14:textId="77777777" w:rsidR="00510263" w:rsidRDefault="00510263">
      <w:r>
        <w:separator/>
      </w:r>
    </w:p>
  </w:endnote>
  <w:endnote w:type="continuationSeparator" w:id="0">
    <w:p w14:paraId="7BB071AC" w14:textId="77777777" w:rsidR="00510263" w:rsidRDefault="00510263">
      <w:r>
        <w:continuationSeparator/>
      </w:r>
    </w:p>
  </w:endnote>
  <w:endnote w:type="continuationNotice" w:id="1">
    <w:p w14:paraId="69631B03" w14:textId="77777777" w:rsidR="00510263" w:rsidRDefault="00510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yriadPro-SemiCn">
    <w:altName w:val="Yu Gothic"/>
    <w:panose1 w:val="00000000000000000000"/>
    <w:charset w:val="80"/>
    <w:family w:val="auto"/>
    <w:notTrueType/>
    <w:pitch w:val="default"/>
    <w:sig w:usb0="00000001" w:usb1="08070000" w:usb2="00000010" w:usb3="00000000" w:csb0="00020000" w:csb1="00000000"/>
  </w:font>
  <w:font w:name="URWPalladioL-Roma">
    <w:altName w:val="Calibri"/>
    <w:panose1 w:val="00000000000000000000"/>
    <w:charset w:val="00"/>
    <w:family w:val="auto"/>
    <w:notTrueType/>
    <w:pitch w:val="default"/>
    <w:sig w:usb0="00000003" w:usb1="00000000" w:usb2="00000000" w:usb3="00000000" w:csb0="00000001" w:csb1="00000000"/>
  </w:font>
  <w:font w:name="URWPalladioL-Ital">
    <w:altName w:val="Calibri"/>
    <w:panose1 w:val="00000000000000000000"/>
    <w:charset w:val="00"/>
    <w:family w:val="auto"/>
    <w:notTrueType/>
    <w:pitch w:val="default"/>
    <w:sig w:usb0="00000003" w:usb1="00000000" w:usb2="00000000" w:usb3="00000000" w:csb0="00000001" w:csb1="00000000"/>
  </w:font>
  <w:font w:name="URWPalladioL-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9D5B" w14:textId="77777777" w:rsidR="00B276FA" w:rsidRDefault="00B276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541C0196" w:rsidR="00F64982" w:rsidRPr="00435583" w:rsidRDefault="00F64982" w:rsidP="00435583">
    <w:pPr>
      <w:pStyle w:val="Fuzeile"/>
      <w:rPr>
        <w:rFonts w:ascii="Arial Narrow" w:hAnsi="Arial Narrow"/>
        <w:sz w:val="20"/>
        <w:szCs w:val="20"/>
      </w:rPr>
    </w:pPr>
    <w:r w:rsidRPr="00435583">
      <w:rPr>
        <w:rFonts w:ascii="Arial Narrow" w:hAnsi="Arial Narrow"/>
        <w:sz w:val="20"/>
        <w:szCs w:val="20"/>
      </w:rPr>
      <w:t xml:space="preserve">NUB-Musteranfrage </w:t>
    </w:r>
    <w:r w:rsidR="00425C74">
      <w:rPr>
        <w:rFonts w:ascii="Arial Narrow" w:hAnsi="Arial Narrow"/>
        <w:sz w:val="20"/>
        <w:szCs w:val="20"/>
      </w:rPr>
      <w:t>Cefiderocol</w:t>
    </w:r>
    <w:r w:rsidR="00B276FA">
      <w:rPr>
        <w:rFonts w:ascii="Arial Narrow" w:hAnsi="Arial Narrow"/>
        <w:sz w:val="20"/>
        <w:szCs w:val="20"/>
      </w:rPr>
      <w:t xml:space="preserve"> (</w:t>
    </w:r>
    <w:r w:rsidR="00B276FA" w:rsidRPr="00D2313F">
      <w:rPr>
        <w:rFonts w:ascii="Arial Narrow" w:hAnsi="Arial Narrow"/>
        <w:sz w:val="22"/>
      </w:rPr>
      <w:t>Fetcroja®</w:t>
    </w:r>
    <w:r w:rsidR="00B276FA">
      <w:rPr>
        <w:rFonts w:ascii="Arial Narrow" w:hAnsi="Arial Narrow"/>
        <w:sz w:val="22"/>
      </w:rPr>
      <w:t>)</w:t>
    </w:r>
  </w:p>
  <w:p w14:paraId="2FA6A649" w14:textId="4DB3A047" w:rsidR="00F64982" w:rsidRPr="00435583" w:rsidRDefault="00F64982" w:rsidP="00435583">
    <w:pPr>
      <w:pStyle w:val="Fuzeile"/>
      <w:rPr>
        <w:rFonts w:ascii="Arial Narrow" w:hAnsi="Arial Narrow"/>
        <w:sz w:val="20"/>
        <w:szCs w:val="20"/>
      </w:rPr>
    </w:pPr>
    <w:hyperlink r:id="rId1" w:history="1">
      <w:r w:rsidRPr="00DF6BE5">
        <w:rPr>
          <w:rStyle w:val="Hyperlink"/>
          <w:rFonts w:ascii="Arial Narrow" w:hAnsi="Arial Narrow"/>
          <w:sz w:val="20"/>
          <w:szCs w:val="20"/>
        </w:rPr>
        <w:t>Arbeitskreis DRG und Gesundheitsökonomie der Deutschen Gesellschaft für Hämatologie und medizinische Onkologie e.V.</w:t>
      </w:r>
    </w:hyperlink>
  </w:p>
  <w:p w14:paraId="2746125E" w14:textId="7304BDAF" w:rsidR="00F64982" w:rsidRPr="00435583" w:rsidRDefault="00425C74" w:rsidP="00435583">
    <w:pPr>
      <w:pStyle w:val="Fuzeile"/>
      <w:rPr>
        <w:rFonts w:ascii="Arial Narrow" w:hAnsi="Arial Narrow"/>
        <w:sz w:val="20"/>
        <w:szCs w:val="20"/>
      </w:rPr>
    </w:pPr>
    <w:hyperlink r:id="rId2" w:history="1">
      <w:r w:rsidRPr="008C620F">
        <w:rPr>
          <w:rStyle w:val="Hyperlink"/>
          <w:rFonts w:ascii="Arial Narrow" w:hAnsi="Arial Narrow"/>
          <w:sz w:val="20"/>
          <w:szCs w:val="20"/>
        </w:rPr>
        <w:t>www.dgho.de</w:t>
      </w:r>
    </w:hyperlink>
    <w:r>
      <w:rPr>
        <w:rFonts w:ascii="Arial Narrow" w:hAnsi="Arial Narrow"/>
        <w:sz w:val="20"/>
        <w:szCs w:val="20"/>
      </w:rPr>
      <w:t xml:space="preserve"> </w:t>
    </w:r>
  </w:p>
  <w:p w14:paraId="6B62B4DD" w14:textId="77777777" w:rsidR="00021583" w:rsidRPr="00435583" w:rsidRDefault="00021583" w:rsidP="00021583">
    <w:pPr>
      <w:pStyle w:val="Fuzeile"/>
      <w:rPr>
        <w:rFonts w:ascii="Arial Narrow" w:hAnsi="Arial Narrow"/>
        <w:sz w:val="20"/>
        <w:szCs w:val="20"/>
      </w:rPr>
    </w:pPr>
    <w:r w:rsidRPr="00CC7F53">
      <w:rPr>
        <w:rFonts w:ascii="Arial Narrow" w:hAnsi="Arial Narrow"/>
        <w:sz w:val="20"/>
        <w:szCs w:val="20"/>
      </w:rPr>
      <w:t xml:space="preserve">Deutsche Gesellschaft für </w:t>
    </w:r>
    <w:r w:rsidRPr="00CC7F53">
      <w:rPr>
        <w:rFonts w:ascii="Arial Narrow" w:hAnsi="Arial Narrow"/>
        <w:sz w:val="22"/>
      </w:rPr>
      <w:t>Infektiologie e.V.</w:t>
    </w:r>
    <w:r w:rsidRPr="00CC7F53">
      <w:rPr>
        <w:rFonts w:ascii="Arial Narrow" w:hAnsi="Arial Narrow"/>
        <w:sz w:val="20"/>
        <w:szCs w:val="20"/>
      </w:rPr>
      <w:t xml:space="preserve">, </w:t>
    </w:r>
    <w:hyperlink r:id="rId3" w:history="1">
      <w:r w:rsidRPr="00CC7F53">
        <w:rPr>
          <w:rStyle w:val="Hyperlink"/>
          <w:rFonts w:ascii="Arial Narrow" w:hAnsi="Arial Narrow"/>
          <w:sz w:val="20"/>
          <w:szCs w:val="20"/>
        </w:rPr>
        <w:t>http://www.dgi-net.de</w:t>
      </w:r>
    </w:hyperlink>
  </w:p>
  <w:p w14:paraId="6E7C81DA" w14:textId="23671DFF" w:rsidR="00F64982" w:rsidRDefault="00021583" w:rsidP="000C71BE">
    <w:pPr>
      <w:pStyle w:val="Fuzeile"/>
      <w:rPr>
        <w:rFonts w:ascii="Arial Narrow" w:hAnsi="Arial Narrow"/>
        <w:bCs/>
        <w:sz w:val="20"/>
        <w:szCs w:val="20"/>
      </w:rPr>
    </w:pPr>
    <w:bookmarkStart w:id="0" w:name="_Hlk139466795"/>
    <w:bookmarkStart w:id="1" w:name="_Hlk139466796"/>
    <w:r w:rsidRPr="001A6216">
      <w:rPr>
        <w:rFonts w:ascii="Arial Narrow" w:hAnsi="Arial Narrow"/>
        <w:sz w:val="20"/>
        <w:szCs w:val="20"/>
      </w:rPr>
      <w:t xml:space="preserve">Seite </w:t>
    </w:r>
    <w:r w:rsidRPr="001A6216">
      <w:rPr>
        <w:rFonts w:ascii="Arial Narrow" w:hAnsi="Arial Narrow"/>
        <w:bCs/>
        <w:sz w:val="20"/>
        <w:szCs w:val="20"/>
      </w:rPr>
      <w:fldChar w:fldCharType="begin"/>
    </w:r>
    <w:r w:rsidRPr="001A6216">
      <w:rPr>
        <w:rFonts w:ascii="Arial Narrow" w:hAnsi="Arial Narrow"/>
        <w:bCs/>
        <w:sz w:val="20"/>
        <w:szCs w:val="20"/>
      </w:rPr>
      <w:instrText>PAGE  \* Arabic  \* MERGEFORMAT</w:instrText>
    </w:r>
    <w:r w:rsidRPr="001A6216">
      <w:rPr>
        <w:rFonts w:ascii="Arial Narrow" w:hAnsi="Arial Narrow"/>
        <w:bCs/>
        <w:sz w:val="20"/>
        <w:szCs w:val="20"/>
      </w:rPr>
      <w:fldChar w:fldCharType="separate"/>
    </w:r>
    <w:r>
      <w:rPr>
        <w:rFonts w:ascii="Arial Narrow" w:hAnsi="Arial Narrow"/>
        <w:bCs/>
        <w:sz w:val="20"/>
        <w:szCs w:val="20"/>
      </w:rPr>
      <w:t>1</w:t>
    </w:r>
    <w:r w:rsidRPr="001A6216">
      <w:rPr>
        <w:rFonts w:ascii="Arial Narrow" w:hAnsi="Arial Narrow"/>
        <w:bCs/>
        <w:sz w:val="20"/>
        <w:szCs w:val="20"/>
      </w:rPr>
      <w:fldChar w:fldCharType="end"/>
    </w:r>
    <w:r w:rsidRPr="001A6216">
      <w:rPr>
        <w:rFonts w:ascii="Arial Narrow" w:hAnsi="Arial Narrow"/>
        <w:sz w:val="20"/>
        <w:szCs w:val="20"/>
      </w:rPr>
      <w:t xml:space="preserve"> von </w:t>
    </w:r>
    <w:r w:rsidRPr="001A6216">
      <w:rPr>
        <w:rFonts w:ascii="Arial Narrow" w:hAnsi="Arial Narrow"/>
        <w:bCs/>
        <w:sz w:val="20"/>
        <w:szCs w:val="20"/>
      </w:rPr>
      <w:fldChar w:fldCharType="begin"/>
    </w:r>
    <w:r w:rsidRPr="001A6216">
      <w:rPr>
        <w:rFonts w:ascii="Arial Narrow" w:hAnsi="Arial Narrow"/>
        <w:bCs/>
        <w:sz w:val="20"/>
        <w:szCs w:val="20"/>
      </w:rPr>
      <w:instrText>NUMPAGES  \* Arabic  \* MERGEFORMAT</w:instrText>
    </w:r>
    <w:r w:rsidRPr="001A6216">
      <w:rPr>
        <w:rFonts w:ascii="Arial Narrow" w:hAnsi="Arial Narrow"/>
        <w:bCs/>
        <w:sz w:val="20"/>
        <w:szCs w:val="20"/>
      </w:rPr>
      <w:fldChar w:fldCharType="separate"/>
    </w:r>
    <w:r>
      <w:rPr>
        <w:rFonts w:ascii="Arial Narrow" w:hAnsi="Arial Narrow"/>
        <w:bCs/>
        <w:sz w:val="20"/>
        <w:szCs w:val="20"/>
      </w:rPr>
      <w:t>4</w:t>
    </w:r>
    <w:r w:rsidRPr="001A6216">
      <w:rPr>
        <w:rFonts w:ascii="Arial Narrow" w:hAnsi="Arial Narrow"/>
        <w:bCs/>
        <w:sz w:val="20"/>
        <w:szCs w:val="20"/>
      </w:rPr>
      <w:fldChar w:fldCharType="end"/>
    </w:r>
    <w:bookmarkEnd w:id="0"/>
    <w:bookmarkEnd w:id="1"/>
  </w:p>
  <w:p w14:paraId="5EBAB3B9" w14:textId="6C996530" w:rsidR="00CB363C" w:rsidRPr="00FE5CFD" w:rsidRDefault="00CB363C" w:rsidP="000C71BE">
    <w:pPr>
      <w:pStyle w:val="Fuzeile"/>
      <w:rPr>
        <w:rFonts w:ascii="Arial Narrow" w:hAnsi="Arial Narrow"/>
        <w:sz w:val="20"/>
        <w:szCs w:val="20"/>
        <w:lang w:val="en-US"/>
      </w:rPr>
    </w:pPr>
    <w:r w:rsidRPr="00FE5CFD">
      <w:rPr>
        <w:rFonts w:ascii="Arial Narrow" w:hAnsi="Arial Narrow"/>
        <w:bCs/>
        <w:sz w:val="20"/>
        <w:szCs w:val="20"/>
        <w:lang w:val="en-US"/>
      </w:rPr>
      <w:t xml:space="preserve">DBI NUB Anfrage 2026 </w:t>
    </w:r>
    <w:r w:rsidRPr="00FE5CFD">
      <w:rPr>
        <w:rFonts w:ascii="Arial Narrow" w:hAnsi="Arial Narrow"/>
        <w:sz w:val="20"/>
        <w:szCs w:val="20"/>
        <w:lang w:val="en-US"/>
      </w:rPr>
      <w:t>Cefiderocol (</w:t>
    </w:r>
    <w:r w:rsidRPr="00FE5CFD">
      <w:rPr>
        <w:rFonts w:ascii="Arial Narrow" w:hAnsi="Arial Narrow"/>
        <w:sz w:val="22"/>
        <w:lang w:val="en-US"/>
      </w:rPr>
      <w:t xml:space="preserve">Fetcroja®)_Stand </w:t>
    </w:r>
    <w:r w:rsidR="00814005" w:rsidRPr="00FE5CFD">
      <w:rPr>
        <w:rFonts w:ascii="Arial Narrow" w:hAnsi="Arial Narrow"/>
        <w:sz w:val="22"/>
        <w:lang w:val="en-US"/>
      </w:rPr>
      <w:t>2025-09-19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2A66" w14:textId="77777777" w:rsidR="00B276FA" w:rsidRDefault="00B276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E3A4" w14:textId="77777777" w:rsidR="00510263" w:rsidRDefault="00510263">
      <w:r>
        <w:separator/>
      </w:r>
    </w:p>
  </w:footnote>
  <w:footnote w:type="continuationSeparator" w:id="0">
    <w:p w14:paraId="17B5F321" w14:textId="77777777" w:rsidR="00510263" w:rsidRDefault="00510263">
      <w:r>
        <w:continuationSeparator/>
      </w:r>
    </w:p>
  </w:footnote>
  <w:footnote w:type="continuationNotice" w:id="1">
    <w:p w14:paraId="4E7660D5" w14:textId="77777777" w:rsidR="00510263" w:rsidRDefault="00510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AEE" w14:textId="77777777" w:rsidR="00B276FA" w:rsidRDefault="00B276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2F4C818A" w:rsidR="00F64982" w:rsidRPr="004C4F82" w:rsidRDefault="00F64982" w:rsidP="00596F9A">
    <w:pPr>
      <w:pStyle w:val="Titel"/>
      <w:rPr>
        <w:sz w:val="48"/>
      </w:rPr>
    </w:pPr>
    <w:r w:rsidRPr="004C4F82">
      <w:rPr>
        <w:sz w:val="48"/>
      </w:rPr>
      <w:t xml:space="preserve">NUB Antrag </w:t>
    </w:r>
    <w:r w:rsidR="00013FAE" w:rsidRPr="004C4F82">
      <w:rPr>
        <w:sz w:val="48"/>
      </w:rPr>
      <w:t>20</w:t>
    </w:r>
    <w:r w:rsidR="00013FAE">
      <w:rPr>
        <w:sz w:val="48"/>
      </w:rPr>
      <w:t>2</w:t>
    </w:r>
    <w:r w:rsidR="00FA0711">
      <w:rPr>
        <w:sz w:val="48"/>
      </w:rPr>
      <w:t>5</w:t>
    </w:r>
    <w:r w:rsidRPr="004C4F82">
      <w:rPr>
        <w:sz w:val="48"/>
      </w:rPr>
      <w:t>/</w:t>
    </w:r>
    <w:r w:rsidR="00013FAE" w:rsidRPr="004C4F82">
      <w:rPr>
        <w:sz w:val="48"/>
      </w:rPr>
      <w:t>20</w:t>
    </w:r>
    <w:r w:rsidR="00013FAE">
      <w:rPr>
        <w:sz w:val="48"/>
      </w:rPr>
      <w:t>2</w:t>
    </w:r>
    <w:r w:rsidR="00FA0711">
      <w:rPr>
        <w:sz w:val="48"/>
      </w:rPr>
      <w:t>6</w:t>
    </w:r>
    <w:r w:rsidR="00013FAE" w:rsidRPr="004C4F82">
      <w:rPr>
        <w:sz w:val="48"/>
      </w:rPr>
      <w:t xml:space="preserve"> </w:t>
    </w:r>
  </w:p>
  <w:p w14:paraId="2D6FE634" w14:textId="3BA0F36A" w:rsidR="00F64982" w:rsidRPr="004C4F82" w:rsidRDefault="00482E97" w:rsidP="00596F9A">
    <w:pPr>
      <w:pStyle w:val="Titel"/>
      <w:rPr>
        <w:sz w:val="48"/>
      </w:rPr>
    </w:pPr>
    <w:r>
      <w:rPr>
        <w:sz w:val="48"/>
      </w:rPr>
      <w:t>Cefiderocol</w:t>
    </w:r>
  </w:p>
  <w:p w14:paraId="38DF28C4" w14:textId="16528EA6"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465E" w14:textId="77777777" w:rsidR="00B276FA" w:rsidRDefault="00B276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457C6D0D"/>
    <w:multiLevelType w:val="hybridMultilevel"/>
    <w:tmpl w:val="740423AA"/>
    <w:lvl w:ilvl="0" w:tplc="7E04C26E">
      <w:start w:val="6"/>
      <w:numFmt w:val="bullet"/>
      <w:lvlText w:val="-"/>
      <w:lvlJc w:val="left"/>
      <w:pPr>
        <w:ind w:left="720" w:hanging="360"/>
      </w:pPr>
      <w:rPr>
        <w:rFonts w:ascii="Arial Narrow" w:eastAsiaTheme="minorHAns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9F6433"/>
    <w:multiLevelType w:val="hybridMultilevel"/>
    <w:tmpl w:val="9D9C12DC"/>
    <w:lvl w:ilvl="0" w:tplc="F022DB8C">
      <w:start w:val="1"/>
      <w:numFmt w:val="decimal"/>
      <w:lvlText w:val="%1)"/>
      <w:lvlJc w:val="left"/>
      <w:pPr>
        <w:ind w:left="360" w:hanging="360"/>
      </w:pPr>
      <w:rPr>
        <w:rFonts w:ascii="Arial Narrow" w:hAnsi="Arial Narrow"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1"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C1929"/>
    <w:multiLevelType w:val="hybridMultilevel"/>
    <w:tmpl w:val="DAEE9E0E"/>
    <w:lvl w:ilvl="0" w:tplc="7BFCF912">
      <w:start w:val="2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0365727">
    <w:abstractNumId w:val="0"/>
  </w:num>
  <w:num w:numId="2" w16cid:durableId="1569146170">
    <w:abstractNumId w:val="11"/>
  </w:num>
  <w:num w:numId="3" w16cid:durableId="146361106">
    <w:abstractNumId w:val="5"/>
  </w:num>
  <w:num w:numId="4" w16cid:durableId="1861240012">
    <w:abstractNumId w:val="3"/>
  </w:num>
  <w:num w:numId="5" w16cid:durableId="62534007">
    <w:abstractNumId w:val="10"/>
  </w:num>
  <w:num w:numId="6" w16cid:durableId="265965095">
    <w:abstractNumId w:val="2"/>
  </w:num>
  <w:num w:numId="7" w16cid:durableId="31269389">
    <w:abstractNumId w:val="7"/>
  </w:num>
  <w:num w:numId="8" w16cid:durableId="1436092917">
    <w:abstractNumId w:val="4"/>
  </w:num>
  <w:num w:numId="9" w16cid:durableId="899481730">
    <w:abstractNumId w:val="1"/>
  </w:num>
  <w:num w:numId="10" w16cid:durableId="434252626">
    <w:abstractNumId w:val="6"/>
  </w:num>
  <w:num w:numId="11" w16cid:durableId="159514921">
    <w:abstractNumId w:val="12"/>
  </w:num>
  <w:num w:numId="12" w16cid:durableId="1484934887">
    <w:abstractNumId w:val="8"/>
  </w:num>
  <w:num w:numId="13" w16cid:durableId="643202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sTC0NDWwsDAwtzBU0lEKTi0uzszPAykwrAUAUJwzSiwAAAA="/>
    <w:docVar w:name="dgnword-docGUID" w:val="{1E794084-83B0-4B46-BD37-262E0589DDB9}"/>
    <w:docVar w:name="dgnword-eventsink" w:val="507668536"/>
  </w:docVars>
  <w:rsids>
    <w:rsidRoot w:val="00234FB1"/>
    <w:rsid w:val="00003073"/>
    <w:rsid w:val="000133F1"/>
    <w:rsid w:val="00013FAE"/>
    <w:rsid w:val="00015BCA"/>
    <w:rsid w:val="00021583"/>
    <w:rsid w:val="000217E3"/>
    <w:rsid w:val="0002397F"/>
    <w:rsid w:val="00024651"/>
    <w:rsid w:val="0004094A"/>
    <w:rsid w:val="000415D1"/>
    <w:rsid w:val="00044597"/>
    <w:rsid w:val="000446D2"/>
    <w:rsid w:val="00050A59"/>
    <w:rsid w:val="00052C32"/>
    <w:rsid w:val="00065A38"/>
    <w:rsid w:val="00072A33"/>
    <w:rsid w:val="00075C3F"/>
    <w:rsid w:val="0008600B"/>
    <w:rsid w:val="00091B5B"/>
    <w:rsid w:val="00092FCC"/>
    <w:rsid w:val="00094385"/>
    <w:rsid w:val="000953D2"/>
    <w:rsid w:val="00096EDD"/>
    <w:rsid w:val="000A3696"/>
    <w:rsid w:val="000A6623"/>
    <w:rsid w:val="000A7440"/>
    <w:rsid w:val="000B5FB8"/>
    <w:rsid w:val="000B71B6"/>
    <w:rsid w:val="000C38A2"/>
    <w:rsid w:val="000C704A"/>
    <w:rsid w:val="000C71BE"/>
    <w:rsid w:val="000D3D91"/>
    <w:rsid w:val="000F3287"/>
    <w:rsid w:val="000F488B"/>
    <w:rsid w:val="000F4D9B"/>
    <w:rsid w:val="00104C97"/>
    <w:rsid w:val="00141FBF"/>
    <w:rsid w:val="00142257"/>
    <w:rsid w:val="00147F5F"/>
    <w:rsid w:val="00152C2C"/>
    <w:rsid w:val="00156FE0"/>
    <w:rsid w:val="0016773F"/>
    <w:rsid w:val="00174C6A"/>
    <w:rsid w:val="00176F14"/>
    <w:rsid w:val="001774E7"/>
    <w:rsid w:val="00184E47"/>
    <w:rsid w:val="00195C79"/>
    <w:rsid w:val="001A016F"/>
    <w:rsid w:val="001A6E24"/>
    <w:rsid w:val="001A7AC7"/>
    <w:rsid w:val="001B06F1"/>
    <w:rsid w:val="001B4CA8"/>
    <w:rsid w:val="001B720E"/>
    <w:rsid w:val="001C0C1A"/>
    <w:rsid w:val="001C19BD"/>
    <w:rsid w:val="001C5B7E"/>
    <w:rsid w:val="001C604D"/>
    <w:rsid w:val="001D4EFE"/>
    <w:rsid w:val="001E279E"/>
    <w:rsid w:val="001E4883"/>
    <w:rsid w:val="001F4753"/>
    <w:rsid w:val="001F50BC"/>
    <w:rsid w:val="002005AF"/>
    <w:rsid w:val="002036B3"/>
    <w:rsid w:val="00204466"/>
    <w:rsid w:val="00211D30"/>
    <w:rsid w:val="00212506"/>
    <w:rsid w:val="00217A01"/>
    <w:rsid w:val="002240B3"/>
    <w:rsid w:val="002333FF"/>
    <w:rsid w:val="00234FB1"/>
    <w:rsid w:val="0024431B"/>
    <w:rsid w:val="00256B7C"/>
    <w:rsid w:val="002579A8"/>
    <w:rsid w:val="002603AC"/>
    <w:rsid w:val="002630C1"/>
    <w:rsid w:val="00265D7D"/>
    <w:rsid w:val="00267EC3"/>
    <w:rsid w:val="0027108C"/>
    <w:rsid w:val="002760CF"/>
    <w:rsid w:val="0028146D"/>
    <w:rsid w:val="00282D25"/>
    <w:rsid w:val="0028432D"/>
    <w:rsid w:val="00285AE4"/>
    <w:rsid w:val="002D0E50"/>
    <w:rsid w:val="002D3CCD"/>
    <w:rsid w:val="002D7403"/>
    <w:rsid w:val="002E5E26"/>
    <w:rsid w:val="002F2605"/>
    <w:rsid w:val="002F34EA"/>
    <w:rsid w:val="00303441"/>
    <w:rsid w:val="00305016"/>
    <w:rsid w:val="00314469"/>
    <w:rsid w:val="00332DC2"/>
    <w:rsid w:val="00337009"/>
    <w:rsid w:val="00343217"/>
    <w:rsid w:val="003479E5"/>
    <w:rsid w:val="0036178C"/>
    <w:rsid w:val="0036325A"/>
    <w:rsid w:val="003723B0"/>
    <w:rsid w:val="003A1323"/>
    <w:rsid w:val="003B1AB5"/>
    <w:rsid w:val="003B2E05"/>
    <w:rsid w:val="003C2A04"/>
    <w:rsid w:val="003C4530"/>
    <w:rsid w:val="003F2692"/>
    <w:rsid w:val="003F4021"/>
    <w:rsid w:val="0040610F"/>
    <w:rsid w:val="00407438"/>
    <w:rsid w:val="0041156E"/>
    <w:rsid w:val="00425C74"/>
    <w:rsid w:val="00435583"/>
    <w:rsid w:val="004522CF"/>
    <w:rsid w:val="00452B43"/>
    <w:rsid w:val="00454847"/>
    <w:rsid w:val="0045581C"/>
    <w:rsid w:val="004642E2"/>
    <w:rsid w:val="00467246"/>
    <w:rsid w:val="00480805"/>
    <w:rsid w:val="00482E97"/>
    <w:rsid w:val="00485B93"/>
    <w:rsid w:val="00492AB4"/>
    <w:rsid w:val="00493797"/>
    <w:rsid w:val="0049440C"/>
    <w:rsid w:val="00494C0F"/>
    <w:rsid w:val="004A2535"/>
    <w:rsid w:val="004A2CD7"/>
    <w:rsid w:val="004A4858"/>
    <w:rsid w:val="004B102B"/>
    <w:rsid w:val="004B3438"/>
    <w:rsid w:val="004B48CC"/>
    <w:rsid w:val="004B624B"/>
    <w:rsid w:val="004B6C59"/>
    <w:rsid w:val="004C4F82"/>
    <w:rsid w:val="004C6468"/>
    <w:rsid w:val="004E1D02"/>
    <w:rsid w:val="004F6D42"/>
    <w:rsid w:val="004F72C9"/>
    <w:rsid w:val="00503802"/>
    <w:rsid w:val="00504630"/>
    <w:rsid w:val="00504FB4"/>
    <w:rsid w:val="0050526A"/>
    <w:rsid w:val="00510263"/>
    <w:rsid w:val="005125E9"/>
    <w:rsid w:val="005172A5"/>
    <w:rsid w:val="00523A85"/>
    <w:rsid w:val="0052556F"/>
    <w:rsid w:val="00531684"/>
    <w:rsid w:val="00541B64"/>
    <w:rsid w:val="005430CF"/>
    <w:rsid w:val="005524BC"/>
    <w:rsid w:val="005530A6"/>
    <w:rsid w:val="00556926"/>
    <w:rsid w:val="00560494"/>
    <w:rsid w:val="00563721"/>
    <w:rsid w:val="005638EB"/>
    <w:rsid w:val="00565211"/>
    <w:rsid w:val="0057537C"/>
    <w:rsid w:val="00575945"/>
    <w:rsid w:val="00577BC7"/>
    <w:rsid w:val="00584225"/>
    <w:rsid w:val="00587C33"/>
    <w:rsid w:val="00596F9A"/>
    <w:rsid w:val="005A2818"/>
    <w:rsid w:val="005B0759"/>
    <w:rsid w:val="005B160C"/>
    <w:rsid w:val="005C6C28"/>
    <w:rsid w:val="005E3BA8"/>
    <w:rsid w:val="005E5740"/>
    <w:rsid w:val="005F29C6"/>
    <w:rsid w:val="005F4D2E"/>
    <w:rsid w:val="006026BB"/>
    <w:rsid w:val="006029EE"/>
    <w:rsid w:val="006043E6"/>
    <w:rsid w:val="006105D5"/>
    <w:rsid w:val="006110E0"/>
    <w:rsid w:val="00612463"/>
    <w:rsid w:val="006215E2"/>
    <w:rsid w:val="00624F94"/>
    <w:rsid w:val="006354B6"/>
    <w:rsid w:val="00643E12"/>
    <w:rsid w:val="006451B6"/>
    <w:rsid w:val="006549F4"/>
    <w:rsid w:val="00664E69"/>
    <w:rsid w:val="00667345"/>
    <w:rsid w:val="00672D66"/>
    <w:rsid w:val="00681EC4"/>
    <w:rsid w:val="006853B1"/>
    <w:rsid w:val="00687640"/>
    <w:rsid w:val="00691CAE"/>
    <w:rsid w:val="00693D9F"/>
    <w:rsid w:val="0069715B"/>
    <w:rsid w:val="006A2033"/>
    <w:rsid w:val="006A47D0"/>
    <w:rsid w:val="006B0122"/>
    <w:rsid w:val="006B74F9"/>
    <w:rsid w:val="006C656D"/>
    <w:rsid w:val="006E08C2"/>
    <w:rsid w:val="006E3FFF"/>
    <w:rsid w:val="006F7F69"/>
    <w:rsid w:val="00713F42"/>
    <w:rsid w:val="00721C81"/>
    <w:rsid w:val="00722D57"/>
    <w:rsid w:val="00723F7C"/>
    <w:rsid w:val="00724375"/>
    <w:rsid w:val="00724D7C"/>
    <w:rsid w:val="00726B4D"/>
    <w:rsid w:val="00737A54"/>
    <w:rsid w:val="00743B3C"/>
    <w:rsid w:val="007600D1"/>
    <w:rsid w:val="00761170"/>
    <w:rsid w:val="00766544"/>
    <w:rsid w:val="00770E89"/>
    <w:rsid w:val="00771B74"/>
    <w:rsid w:val="007808C5"/>
    <w:rsid w:val="0078272D"/>
    <w:rsid w:val="00791B50"/>
    <w:rsid w:val="00792805"/>
    <w:rsid w:val="007A314E"/>
    <w:rsid w:val="007A6F09"/>
    <w:rsid w:val="007A7674"/>
    <w:rsid w:val="007B3A4D"/>
    <w:rsid w:val="007B76D2"/>
    <w:rsid w:val="007C48C1"/>
    <w:rsid w:val="007D61DF"/>
    <w:rsid w:val="007F0381"/>
    <w:rsid w:val="007F255B"/>
    <w:rsid w:val="007F74BB"/>
    <w:rsid w:val="00802EF7"/>
    <w:rsid w:val="0080511D"/>
    <w:rsid w:val="00807564"/>
    <w:rsid w:val="00811038"/>
    <w:rsid w:val="00814005"/>
    <w:rsid w:val="00816924"/>
    <w:rsid w:val="00817871"/>
    <w:rsid w:val="00825FBF"/>
    <w:rsid w:val="008427E4"/>
    <w:rsid w:val="00843507"/>
    <w:rsid w:val="00850D44"/>
    <w:rsid w:val="00857A03"/>
    <w:rsid w:val="00861DDF"/>
    <w:rsid w:val="00873094"/>
    <w:rsid w:val="00876F5A"/>
    <w:rsid w:val="00886AEE"/>
    <w:rsid w:val="00890BC2"/>
    <w:rsid w:val="00896E47"/>
    <w:rsid w:val="008A6A0F"/>
    <w:rsid w:val="008B2153"/>
    <w:rsid w:val="008B38C2"/>
    <w:rsid w:val="008B4504"/>
    <w:rsid w:val="008B7669"/>
    <w:rsid w:val="008C0657"/>
    <w:rsid w:val="008C1686"/>
    <w:rsid w:val="008C257C"/>
    <w:rsid w:val="008D12DD"/>
    <w:rsid w:val="008D4529"/>
    <w:rsid w:val="008D510A"/>
    <w:rsid w:val="008E65E7"/>
    <w:rsid w:val="008E6675"/>
    <w:rsid w:val="008F20FC"/>
    <w:rsid w:val="00900E00"/>
    <w:rsid w:val="00902415"/>
    <w:rsid w:val="00905BEA"/>
    <w:rsid w:val="00916323"/>
    <w:rsid w:val="009229BF"/>
    <w:rsid w:val="00922E73"/>
    <w:rsid w:val="0092321E"/>
    <w:rsid w:val="0092521D"/>
    <w:rsid w:val="00925542"/>
    <w:rsid w:val="00925F0B"/>
    <w:rsid w:val="009306DE"/>
    <w:rsid w:val="00937A75"/>
    <w:rsid w:val="009443E7"/>
    <w:rsid w:val="009545AF"/>
    <w:rsid w:val="00956DDE"/>
    <w:rsid w:val="00960A78"/>
    <w:rsid w:val="00983554"/>
    <w:rsid w:val="0098788A"/>
    <w:rsid w:val="00991595"/>
    <w:rsid w:val="009919BD"/>
    <w:rsid w:val="009960A3"/>
    <w:rsid w:val="009961B6"/>
    <w:rsid w:val="00996E48"/>
    <w:rsid w:val="009A7B84"/>
    <w:rsid w:val="009B1C7E"/>
    <w:rsid w:val="009B4930"/>
    <w:rsid w:val="009C0B84"/>
    <w:rsid w:val="009C130A"/>
    <w:rsid w:val="009C144E"/>
    <w:rsid w:val="009C3128"/>
    <w:rsid w:val="009C5B9E"/>
    <w:rsid w:val="009C605B"/>
    <w:rsid w:val="009D2174"/>
    <w:rsid w:val="009D5DB3"/>
    <w:rsid w:val="009E0B0A"/>
    <w:rsid w:val="009E40FC"/>
    <w:rsid w:val="009E6747"/>
    <w:rsid w:val="009F02FF"/>
    <w:rsid w:val="00A00CCB"/>
    <w:rsid w:val="00A01CAE"/>
    <w:rsid w:val="00A03482"/>
    <w:rsid w:val="00A100DC"/>
    <w:rsid w:val="00A1191D"/>
    <w:rsid w:val="00A2016B"/>
    <w:rsid w:val="00A21B80"/>
    <w:rsid w:val="00A21E9E"/>
    <w:rsid w:val="00A23CBB"/>
    <w:rsid w:val="00A26D05"/>
    <w:rsid w:val="00A3070C"/>
    <w:rsid w:val="00A345A9"/>
    <w:rsid w:val="00A4125B"/>
    <w:rsid w:val="00A43812"/>
    <w:rsid w:val="00A530BE"/>
    <w:rsid w:val="00A64535"/>
    <w:rsid w:val="00A648AB"/>
    <w:rsid w:val="00A64B04"/>
    <w:rsid w:val="00A6672D"/>
    <w:rsid w:val="00A878E6"/>
    <w:rsid w:val="00A93AAD"/>
    <w:rsid w:val="00AA6B4F"/>
    <w:rsid w:val="00AB0505"/>
    <w:rsid w:val="00AB10BF"/>
    <w:rsid w:val="00AC7838"/>
    <w:rsid w:val="00AD520D"/>
    <w:rsid w:val="00AE2257"/>
    <w:rsid w:val="00AE4C49"/>
    <w:rsid w:val="00AF2A81"/>
    <w:rsid w:val="00B006CC"/>
    <w:rsid w:val="00B020E4"/>
    <w:rsid w:val="00B03A61"/>
    <w:rsid w:val="00B12A85"/>
    <w:rsid w:val="00B267E9"/>
    <w:rsid w:val="00B276FA"/>
    <w:rsid w:val="00B30DBC"/>
    <w:rsid w:val="00B36E11"/>
    <w:rsid w:val="00B438E7"/>
    <w:rsid w:val="00B4582F"/>
    <w:rsid w:val="00B54D33"/>
    <w:rsid w:val="00B574E9"/>
    <w:rsid w:val="00B6570D"/>
    <w:rsid w:val="00B773B8"/>
    <w:rsid w:val="00B83A2D"/>
    <w:rsid w:val="00B86451"/>
    <w:rsid w:val="00B86697"/>
    <w:rsid w:val="00B86EF3"/>
    <w:rsid w:val="00B94F06"/>
    <w:rsid w:val="00B96040"/>
    <w:rsid w:val="00BA14F7"/>
    <w:rsid w:val="00BA6044"/>
    <w:rsid w:val="00BB4A54"/>
    <w:rsid w:val="00BC1302"/>
    <w:rsid w:val="00BC3D19"/>
    <w:rsid w:val="00BC4042"/>
    <w:rsid w:val="00BE3979"/>
    <w:rsid w:val="00BF11AE"/>
    <w:rsid w:val="00BF25CC"/>
    <w:rsid w:val="00BF6157"/>
    <w:rsid w:val="00C00FB7"/>
    <w:rsid w:val="00C0397D"/>
    <w:rsid w:val="00C112A6"/>
    <w:rsid w:val="00C11458"/>
    <w:rsid w:val="00C14AE2"/>
    <w:rsid w:val="00C20945"/>
    <w:rsid w:val="00C21654"/>
    <w:rsid w:val="00C245F1"/>
    <w:rsid w:val="00C30B72"/>
    <w:rsid w:val="00C314EA"/>
    <w:rsid w:val="00C35BFE"/>
    <w:rsid w:val="00C36A46"/>
    <w:rsid w:val="00C47ADE"/>
    <w:rsid w:val="00C515AD"/>
    <w:rsid w:val="00C51AF9"/>
    <w:rsid w:val="00C5323D"/>
    <w:rsid w:val="00C66478"/>
    <w:rsid w:val="00C676EE"/>
    <w:rsid w:val="00C81A22"/>
    <w:rsid w:val="00C82789"/>
    <w:rsid w:val="00C865C1"/>
    <w:rsid w:val="00C86C80"/>
    <w:rsid w:val="00C87386"/>
    <w:rsid w:val="00C87431"/>
    <w:rsid w:val="00CA497D"/>
    <w:rsid w:val="00CB363C"/>
    <w:rsid w:val="00CB3CA3"/>
    <w:rsid w:val="00CB7E53"/>
    <w:rsid w:val="00CC0BEC"/>
    <w:rsid w:val="00CC7E5F"/>
    <w:rsid w:val="00CC7F53"/>
    <w:rsid w:val="00CD2365"/>
    <w:rsid w:val="00CD7E7A"/>
    <w:rsid w:val="00CE20D3"/>
    <w:rsid w:val="00CE2122"/>
    <w:rsid w:val="00CE69F3"/>
    <w:rsid w:val="00CE7D77"/>
    <w:rsid w:val="00CF56C3"/>
    <w:rsid w:val="00CF5ECC"/>
    <w:rsid w:val="00D047DA"/>
    <w:rsid w:val="00D047EA"/>
    <w:rsid w:val="00D14350"/>
    <w:rsid w:val="00D216BD"/>
    <w:rsid w:val="00D21A79"/>
    <w:rsid w:val="00D2313F"/>
    <w:rsid w:val="00D41422"/>
    <w:rsid w:val="00D42272"/>
    <w:rsid w:val="00D54BCE"/>
    <w:rsid w:val="00D63266"/>
    <w:rsid w:val="00D87B96"/>
    <w:rsid w:val="00D9586E"/>
    <w:rsid w:val="00DB14F4"/>
    <w:rsid w:val="00DB4789"/>
    <w:rsid w:val="00DC4855"/>
    <w:rsid w:val="00DC5232"/>
    <w:rsid w:val="00DC6CBD"/>
    <w:rsid w:val="00DD0373"/>
    <w:rsid w:val="00DD0ADF"/>
    <w:rsid w:val="00DD1BB2"/>
    <w:rsid w:val="00DE0DAA"/>
    <w:rsid w:val="00DF01F8"/>
    <w:rsid w:val="00DF6BE5"/>
    <w:rsid w:val="00E00559"/>
    <w:rsid w:val="00E108B3"/>
    <w:rsid w:val="00E16A3B"/>
    <w:rsid w:val="00E17384"/>
    <w:rsid w:val="00E24E3B"/>
    <w:rsid w:val="00E33D51"/>
    <w:rsid w:val="00E360E6"/>
    <w:rsid w:val="00E45C65"/>
    <w:rsid w:val="00E53F75"/>
    <w:rsid w:val="00E55D72"/>
    <w:rsid w:val="00E615E9"/>
    <w:rsid w:val="00E75BD0"/>
    <w:rsid w:val="00E77A14"/>
    <w:rsid w:val="00E86725"/>
    <w:rsid w:val="00E9243F"/>
    <w:rsid w:val="00E92C57"/>
    <w:rsid w:val="00E942AE"/>
    <w:rsid w:val="00EA61F4"/>
    <w:rsid w:val="00EB2FC2"/>
    <w:rsid w:val="00EC0987"/>
    <w:rsid w:val="00EC1445"/>
    <w:rsid w:val="00EC3CBC"/>
    <w:rsid w:val="00ED4386"/>
    <w:rsid w:val="00ED6042"/>
    <w:rsid w:val="00ED7305"/>
    <w:rsid w:val="00ED79AA"/>
    <w:rsid w:val="00EE0D0B"/>
    <w:rsid w:val="00EE1581"/>
    <w:rsid w:val="00EE3FC0"/>
    <w:rsid w:val="00EE5875"/>
    <w:rsid w:val="00EE5FA9"/>
    <w:rsid w:val="00EE7C3F"/>
    <w:rsid w:val="00EF1679"/>
    <w:rsid w:val="00F000AA"/>
    <w:rsid w:val="00F0676B"/>
    <w:rsid w:val="00F233AA"/>
    <w:rsid w:val="00F24159"/>
    <w:rsid w:val="00F253C6"/>
    <w:rsid w:val="00F42612"/>
    <w:rsid w:val="00F455E3"/>
    <w:rsid w:val="00F543D1"/>
    <w:rsid w:val="00F64982"/>
    <w:rsid w:val="00F73247"/>
    <w:rsid w:val="00F811A5"/>
    <w:rsid w:val="00F834FE"/>
    <w:rsid w:val="00F91167"/>
    <w:rsid w:val="00FA0711"/>
    <w:rsid w:val="00FA6FC5"/>
    <w:rsid w:val="00FB46A5"/>
    <w:rsid w:val="00FB6813"/>
    <w:rsid w:val="00FC0E64"/>
    <w:rsid w:val="00FC69E4"/>
    <w:rsid w:val="00FD44F5"/>
    <w:rsid w:val="00FD6F33"/>
    <w:rsid w:val="00FE03F1"/>
    <w:rsid w:val="00FE2024"/>
    <w:rsid w:val="00FE5CFD"/>
    <w:rsid w:val="00FF2E7C"/>
    <w:rsid w:val="00FF4695"/>
    <w:rsid w:val="00FF51E1"/>
    <w:rsid w:val="00FF6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CAD0A062-DF99-4919-B913-B3A9EB30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styleId="Kommentartext">
    <w:name w:val="annotation text"/>
    <w:basedOn w:val="Standard"/>
    <w:link w:val="KommentartextZchn"/>
    <w:uiPriority w:val="99"/>
    <w:unhideWhenUsed/>
    <w:rsid w:val="00584225"/>
    <w:pPr>
      <w:widowControl w:val="0"/>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rsid w:val="00584225"/>
    <w:rPr>
      <w:rFonts w:asciiTheme="minorHAnsi" w:eastAsiaTheme="minorHAnsi" w:hAnsiTheme="minorHAnsi" w:cstheme="minorBidi"/>
      <w:sz w:val="20"/>
      <w:szCs w:val="20"/>
      <w:lang w:val="en-US" w:eastAsia="en-US"/>
    </w:rPr>
  </w:style>
  <w:style w:type="character" w:styleId="NichtaufgelsteErwhnung">
    <w:name w:val="Unresolved Mention"/>
    <w:basedOn w:val="Absatz-Standardschriftart"/>
    <w:uiPriority w:val="99"/>
    <w:semiHidden/>
    <w:unhideWhenUsed/>
    <w:rsid w:val="00584225"/>
    <w:rPr>
      <w:color w:val="605E5C"/>
      <w:shd w:val="clear" w:color="auto" w:fill="E1DFDD"/>
    </w:rPr>
  </w:style>
  <w:style w:type="paragraph" w:customStyle="1" w:styleId="Default">
    <w:name w:val="Default"/>
    <w:rsid w:val="004F72C9"/>
    <w:pPr>
      <w:autoSpaceDE w:val="0"/>
      <w:autoSpaceDN w:val="0"/>
      <w:adjustRightInd w:val="0"/>
    </w:pPr>
    <w:rPr>
      <w:rFonts w:ascii="Arial" w:eastAsiaTheme="minorHAnsi" w:hAnsi="Arial" w:cs="Arial"/>
      <w:color w:val="000000"/>
      <w:sz w:val="24"/>
      <w:szCs w:val="24"/>
      <w:lang w:eastAsia="en-US"/>
    </w:rPr>
  </w:style>
  <w:style w:type="paragraph" w:styleId="Kommentarthema">
    <w:name w:val="annotation subject"/>
    <w:basedOn w:val="Kommentartext"/>
    <w:next w:val="Kommentartext"/>
    <w:link w:val="KommentarthemaZchn"/>
    <w:uiPriority w:val="99"/>
    <w:semiHidden/>
    <w:unhideWhenUsed/>
    <w:rsid w:val="00BC1302"/>
    <w:pPr>
      <w:widowControl/>
    </w:pPr>
    <w:rPr>
      <w:rFonts w:ascii="Times New Roman" w:eastAsia="Times New Roman" w:hAnsi="Times New Roman" w:cs="Times New Roman"/>
      <w:b/>
      <w:bCs/>
      <w:lang w:val="de-DE" w:eastAsia="de-DE"/>
    </w:rPr>
  </w:style>
  <w:style w:type="character" w:customStyle="1" w:styleId="KommentarthemaZchn">
    <w:name w:val="Kommentarthema Zchn"/>
    <w:basedOn w:val="KommentartextZchn"/>
    <w:link w:val="Kommentarthema"/>
    <w:uiPriority w:val="99"/>
    <w:semiHidden/>
    <w:rsid w:val="00BC1302"/>
    <w:rPr>
      <w:rFonts w:asciiTheme="minorHAnsi" w:eastAsiaTheme="minorHAnsi" w:hAnsiTheme="minorHAnsi" w:cstheme="minorBidi"/>
      <w:b/>
      <w:bCs/>
      <w:sz w:val="20"/>
      <w:szCs w:val="20"/>
      <w:lang w:val="en-US" w:eastAsia="en-US"/>
    </w:rPr>
  </w:style>
  <w:style w:type="character" w:styleId="Kommentarzeichen">
    <w:name w:val="annotation reference"/>
    <w:basedOn w:val="Absatz-Standardschriftart"/>
    <w:uiPriority w:val="99"/>
    <w:semiHidden/>
    <w:unhideWhenUsed/>
    <w:rsid w:val="008427E4"/>
    <w:rPr>
      <w:sz w:val="16"/>
      <w:szCs w:val="16"/>
    </w:rPr>
  </w:style>
  <w:style w:type="character" w:customStyle="1" w:styleId="normaltextrun">
    <w:name w:val="normaltextrun"/>
    <w:basedOn w:val="Absatz-Standardschriftart"/>
    <w:rsid w:val="0027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5694">
      <w:bodyDiv w:val="1"/>
      <w:marLeft w:val="0"/>
      <w:marRight w:val="0"/>
      <w:marTop w:val="0"/>
      <w:marBottom w:val="0"/>
      <w:divBdr>
        <w:top w:val="none" w:sz="0" w:space="0" w:color="auto"/>
        <w:left w:val="none" w:sz="0" w:space="0" w:color="auto"/>
        <w:bottom w:val="none" w:sz="0" w:space="0" w:color="auto"/>
        <w:right w:val="none" w:sz="0" w:space="0" w:color="auto"/>
      </w:divBdr>
    </w:div>
    <w:div w:id="343946005">
      <w:bodyDiv w:val="1"/>
      <w:marLeft w:val="0"/>
      <w:marRight w:val="0"/>
      <w:marTop w:val="0"/>
      <w:marBottom w:val="0"/>
      <w:divBdr>
        <w:top w:val="none" w:sz="0" w:space="0" w:color="auto"/>
        <w:left w:val="none" w:sz="0" w:space="0" w:color="auto"/>
        <w:bottom w:val="none" w:sz="0" w:space="0" w:color="auto"/>
        <w:right w:val="none" w:sz="0" w:space="0" w:color="auto"/>
      </w:divBdr>
    </w:div>
    <w:div w:id="374038899">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001086731">
      <w:bodyDiv w:val="1"/>
      <w:marLeft w:val="0"/>
      <w:marRight w:val="0"/>
      <w:marTop w:val="0"/>
      <w:marBottom w:val="0"/>
      <w:divBdr>
        <w:top w:val="none" w:sz="0" w:space="0" w:color="auto"/>
        <w:left w:val="none" w:sz="0" w:space="0" w:color="auto"/>
        <w:bottom w:val="none" w:sz="0" w:space="0" w:color="auto"/>
        <w:right w:val="none" w:sz="0" w:space="0" w:color="auto"/>
      </w:divBdr>
    </w:div>
    <w:div w:id="1199270727">
      <w:bodyDiv w:val="1"/>
      <w:marLeft w:val="0"/>
      <w:marRight w:val="0"/>
      <w:marTop w:val="0"/>
      <w:marBottom w:val="0"/>
      <w:divBdr>
        <w:top w:val="none" w:sz="0" w:space="0" w:color="auto"/>
        <w:left w:val="none" w:sz="0" w:space="0" w:color="auto"/>
        <w:bottom w:val="none" w:sz="0" w:space="0" w:color="auto"/>
        <w:right w:val="none" w:sz="0" w:space="0" w:color="auto"/>
      </w:divBdr>
    </w:div>
    <w:div w:id="1411388598">
      <w:bodyDiv w:val="1"/>
      <w:marLeft w:val="0"/>
      <w:marRight w:val="0"/>
      <w:marTop w:val="0"/>
      <w:marBottom w:val="0"/>
      <w:divBdr>
        <w:top w:val="none" w:sz="0" w:space="0" w:color="auto"/>
        <w:left w:val="none" w:sz="0" w:space="0" w:color="auto"/>
        <w:bottom w:val="none" w:sz="0" w:space="0" w:color="auto"/>
        <w:right w:val="none" w:sz="0" w:space="0" w:color="auto"/>
      </w:divBdr>
    </w:div>
    <w:div w:id="1423329848">
      <w:bodyDiv w:val="1"/>
      <w:marLeft w:val="0"/>
      <w:marRight w:val="0"/>
      <w:marTop w:val="0"/>
      <w:marBottom w:val="0"/>
      <w:divBdr>
        <w:top w:val="none" w:sz="0" w:space="0" w:color="auto"/>
        <w:left w:val="none" w:sz="0" w:space="0" w:color="auto"/>
        <w:bottom w:val="none" w:sz="0" w:space="0" w:color="auto"/>
        <w:right w:val="none" w:sz="0" w:space="0" w:color="auto"/>
      </w:divBdr>
    </w:div>
    <w:div w:id="1516579177">
      <w:bodyDiv w:val="1"/>
      <w:marLeft w:val="0"/>
      <w:marRight w:val="0"/>
      <w:marTop w:val="0"/>
      <w:marBottom w:val="0"/>
      <w:divBdr>
        <w:top w:val="none" w:sz="0" w:space="0" w:color="auto"/>
        <w:left w:val="none" w:sz="0" w:space="0" w:color="auto"/>
        <w:bottom w:val="none" w:sz="0" w:space="0" w:color="auto"/>
        <w:right w:val="none" w:sz="0" w:space="0" w:color="auto"/>
      </w:divBdr>
    </w:div>
    <w:div w:id="19282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S1473-3099(20)30731-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achinfo.de/suche/fi/02307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dgi-net.de" TargetMode="External"/><Relationship Id="rId2" Type="http://schemas.openxmlformats.org/officeDocument/2006/relationships/hyperlink" Target="http://www.dgho.de" TargetMode="External"/><Relationship Id="rId1" Type="http://schemas.openxmlformats.org/officeDocument/2006/relationships/hyperlink" Target="https://www.dgho.de/arbeitskreise/a-g/drg-gesundheitsoek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7C5C36-6C3F-4DD1-AFA8-6C285C0BF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21BD-BE16-45E7-AD50-958CD38E8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2598</Words>
  <Characters>16371</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18932</CharactersWithSpaces>
  <SharedDoc>false</SharedDoc>
  <HLinks>
    <vt:vector size="18" baseType="variant">
      <vt:variant>
        <vt:i4>7798836</vt:i4>
      </vt:variant>
      <vt:variant>
        <vt:i4>6</vt:i4>
      </vt:variant>
      <vt:variant>
        <vt:i4>0</vt:i4>
      </vt:variant>
      <vt:variant>
        <vt:i4>5</vt:i4>
      </vt:variant>
      <vt:variant>
        <vt:lpwstr>http://www.dgi-net.de/</vt:lpwstr>
      </vt:variant>
      <vt:variant>
        <vt:lpwstr/>
      </vt:variant>
      <vt:variant>
        <vt:i4>7077948</vt:i4>
      </vt:variant>
      <vt:variant>
        <vt:i4>3</vt:i4>
      </vt:variant>
      <vt:variant>
        <vt:i4>0</vt:i4>
      </vt:variant>
      <vt:variant>
        <vt:i4>5</vt:i4>
      </vt:variant>
      <vt:variant>
        <vt:lpwstr>http://www.dgho.de/</vt:lpwstr>
      </vt:variant>
      <vt:variant>
        <vt:lpwstr/>
      </vt:variant>
      <vt:variant>
        <vt:i4>6291553</vt:i4>
      </vt:variant>
      <vt:variant>
        <vt:i4>0</vt:i4>
      </vt:variant>
      <vt:variant>
        <vt:i4>0</vt:i4>
      </vt:variant>
      <vt:variant>
        <vt:i4>5</vt:i4>
      </vt:variant>
      <vt:variant>
        <vt:lpwstr>https://www.dgho.de/arbeitskreise/a-g/drg-gesundheitsoekonomie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32</cp:revision>
  <cp:lastPrinted>2012-10-10T09:17:00Z</cp:lastPrinted>
  <dcterms:created xsi:type="dcterms:W3CDTF">2025-09-02T07:24:00Z</dcterms:created>
  <dcterms:modified xsi:type="dcterms:W3CDTF">2025-09-19T08:36:00Z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2f4e10fe7f6d0dd07387b0beda0bcd55cbe0b773afbb353e5bfdf9cb35cbb6e8</vt:lpwstr>
  </property>
  <property fmtid="{D5CDD505-2E9C-101B-9397-08002B2CF9AE}" pid="4" name="MediaServiceImageTags">
    <vt:lpwstr/>
  </property>
</Properties>
</file>