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1E4BAF40" w14:textId="77777777">
        <w:tc>
          <w:tcPr>
            <w:tcW w:w="9212" w:type="dxa"/>
          </w:tcPr>
          <w:p w14:paraId="63932051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Haben Sie externe Hilfestellungen zum Ausfüllen der Formblätter in Anspruch genommen?  Wenn ja, bitte geben Sie an, welche Hilfestellung Sie in Anspruch genommen haben?</w:t>
            </w:r>
          </w:p>
        </w:tc>
      </w:tr>
      <w:tr w:rsidR="009B362D" w:rsidRPr="009B362D" w14:paraId="7E0D8105" w14:textId="77777777">
        <w:tc>
          <w:tcPr>
            <w:tcW w:w="9212" w:type="dxa"/>
          </w:tcPr>
          <w:p w14:paraId="588EEC56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Dieser Antrag wurde durch die deutsche Gesellschaft für Hämatologie und medizinische Onkologie e.V. vorformuliert.</w:t>
            </w:r>
          </w:p>
        </w:tc>
      </w:tr>
    </w:tbl>
    <w:p w14:paraId="671B9E97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lang w:eastAsia="de-DE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78F13680" w14:textId="77777777">
        <w:tc>
          <w:tcPr>
            <w:tcW w:w="9212" w:type="dxa"/>
          </w:tcPr>
          <w:p w14:paraId="299FF7C6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Angefragte Untersuchungs- und Behandlungsmethode</w:t>
            </w:r>
          </w:p>
        </w:tc>
      </w:tr>
      <w:tr w:rsidR="009B362D" w:rsidRPr="009B362D" w14:paraId="105E2D9B" w14:textId="77777777">
        <w:tc>
          <w:tcPr>
            <w:tcW w:w="9212" w:type="dxa"/>
          </w:tcPr>
          <w:p w14:paraId="58C4C8F4" w14:textId="1B4B2256" w:rsidR="004D6A65" w:rsidRPr="009B362D" w:rsidRDefault="00BF3C2F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Ep</w:t>
            </w:r>
            <w:r w:rsidR="00CD0820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cor</w:t>
            </w:r>
            <w:r w:rsidR="003E4EA1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itamab</w:t>
            </w:r>
          </w:p>
        </w:tc>
      </w:tr>
    </w:tbl>
    <w:p w14:paraId="08085B8B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b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4FBE1967" w14:textId="77777777">
        <w:tc>
          <w:tcPr>
            <w:tcW w:w="9212" w:type="dxa"/>
          </w:tcPr>
          <w:p w14:paraId="43AC9ADE" w14:textId="77777777" w:rsidR="004D6A65" w:rsidRPr="009B362D" w:rsidRDefault="004D6A65" w:rsidP="004D6A65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Alternative Bezeichnung(en) der Methode</w:t>
            </w: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ab/>
            </w:r>
          </w:p>
        </w:tc>
      </w:tr>
      <w:tr w:rsidR="009B362D" w:rsidRPr="009B362D" w14:paraId="453A0102" w14:textId="77777777">
        <w:tc>
          <w:tcPr>
            <w:tcW w:w="9212" w:type="dxa"/>
          </w:tcPr>
          <w:p w14:paraId="4AE16DB1" w14:textId="253B2CE1" w:rsidR="004D6A65" w:rsidRPr="009B362D" w:rsidRDefault="00017402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Tepkinly</w:t>
            </w:r>
            <w:r w:rsidR="004D6A65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®</w:t>
            </w:r>
          </w:p>
        </w:tc>
      </w:tr>
    </w:tbl>
    <w:p w14:paraId="5D457E2B" w14:textId="77777777" w:rsidR="004D6A65" w:rsidRPr="009B362D" w:rsidRDefault="004D6A65" w:rsidP="004D6A65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F45414" w:rsidRPr="009B362D" w14:paraId="5DEC1E98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2CA9" w14:textId="77777777" w:rsidR="004D6A65" w:rsidRPr="009B362D" w:rsidRDefault="004D6A65" w:rsidP="004D6A65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Beruht die neue Untersuchungs- und Behandlungsmethode vollständig oder in Teilen auf dem Einsatz eines Medizinproduktes?</w:t>
            </w: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ab/>
            </w:r>
          </w:p>
        </w:tc>
      </w:tr>
      <w:tr w:rsidR="00F45414" w:rsidRPr="009B362D" w14:paraId="33677C83" w14:textId="7777777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6D5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[</w:t>
            </w:r>
            <w:r w:rsidRPr="009B362D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nein ankreuzen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] </w:t>
            </w:r>
          </w:p>
        </w:tc>
      </w:tr>
    </w:tbl>
    <w:p w14:paraId="24206CFB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595514D6" w14:textId="77777777" w:rsidTr="00684CC1">
        <w:tc>
          <w:tcPr>
            <w:tcW w:w="9212" w:type="dxa"/>
          </w:tcPr>
          <w:p w14:paraId="0B01A64A" w14:textId="3142D25E" w:rsidR="004D6A65" w:rsidRPr="009B362D" w:rsidRDefault="004D6A65" w:rsidP="004D6A65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Wurde für diese angefragte Untersuchungs- und Behandlungsmethode von Ihrem Krankenhaus bereits vor dem 01.01.202</w:t>
            </w:r>
            <w:r w:rsidR="00DC4680"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5</w:t>
            </w: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eine Anfrage gemäß §6 Abs. 2 KHEntG an das InEK übermittelt?</w:t>
            </w:r>
          </w:p>
        </w:tc>
      </w:tr>
      <w:tr w:rsidR="00684CC1" w:rsidRPr="009B362D" w14:paraId="06572840" w14:textId="77777777" w:rsidTr="00684CC1">
        <w:tc>
          <w:tcPr>
            <w:tcW w:w="9212" w:type="dxa"/>
          </w:tcPr>
          <w:p w14:paraId="44665E92" w14:textId="77777777" w:rsidR="00684CC1" w:rsidRPr="00684CC1" w:rsidRDefault="00684CC1" w:rsidP="00684CC1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</w:pPr>
            <w:r w:rsidRPr="00684CC1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[hier ja ankreuzen, falls Sie zu den Häusern gehören, die im Vorjahr eine Anfrage gestellt haben, sonst nein</w:t>
            </w:r>
          </w:p>
          <w:p w14:paraId="2646D0EC" w14:textId="77777777" w:rsidR="00684CC1" w:rsidRPr="00684CC1" w:rsidRDefault="00684CC1" w:rsidP="00684CC1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</w:pPr>
            <w:r w:rsidRPr="00684CC1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ankreuzen. Bei ja Anfrage aus dem Vorjahr im Datenportal auswählen. Die Angabe der vorangegangenen</w:t>
            </w:r>
          </w:p>
          <w:p w14:paraId="300D392C" w14:textId="05C9A4F6" w:rsidR="00684CC1" w:rsidRPr="009B362D" w:rsidRDefault="00684CC1" w:rsidP="00684CC1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</w:pPr>
            <w:r w:rsidRPr="00684CC1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Verfahrensnummer ist Pflicht, diese wird im Formular durch die Suchfunktion unterstützt]</w:t>
            </w:r>
          </w:p>
        </w:tc>
      </w:tr>
    </w:tbl>
    <w:p w14:paraId="58AFDBDE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2EC8C993" w14:textId="77777777" w:rsidTr="01046745">
        <w:tc>
          <w:tcPr>
            <w:tcW w:w="9212" w:type="dxa"/>
          </w:tcPr>
          <w:p w14:paraId="6D92AB76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Beschreibung der neuen Methode</w:t>
            </w:r>
          </w:p>
        </w:tc>
      </w:tr>
      <w:tr w:rsidR="009B362D" w:rsidRPr="009B362D" w14:paraId="551DD653" w14:textId="77777777" w:rsidTr="01046745">
        <w:tc>
          <w:tcPr>
            <w:tcW w:w="9212" w:type="dxa"/>
          </w:tcPr>
          <w:p w14:paraId="4517CB24" w14:textId="60D7F9FC" w:rsidR="007E5360" w:rsidRPr="009B362D" w:rsidRDefault="007E5360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Wirkweise: </w:t>
            </w:r>
          </w:p>
          <w:p w14:paraId="1000CA32" w14:textId="1521EEB8" w:rsidR="007E5360" w:rsidRPr="009B362D" w:rsidRDefault="007E5360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Epcoritamab ist ein bispezifischer CD3/CD20-Antikörper, der die T-Zell-vermittelte Abtötung von CD20</w:t>
            </w:r>
            <w:r w:rsidR="00AD1B3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exprimierenden Tumorzellen induziert. Epcoritamab bindet neben CD20, welches transmembranständig auf B</w:t>
            </w:r>
            <w:r w:rsidR="00ED203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Zellen exprimiert wird, gleichzeitig an CD3, welches als Bestandteil des T-Zellrezeptors (TCR) auf der Oberfläche</w:t>
            </w:r>
            <w:r w:rsidR="00AD1B3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von T-Zellen exprimiert wird. Diese Bindung ermöglicht es, T-Zellen selektiv auf maligne B-Zellen zu lenken, und</w:t>
            </w:r>
            <w:r w:rsidR="00AD1B3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durch die räumliche Nähe der T-Zelle zur Tumorzelle eine Immunantwort gegen diese auszulösen.</w:t>
            </w:r>
          </w:p>
          <w:p w14:paraId="7E2BBB7D" w14:textId="77777777" w:rsidR="00ED203B" w:rsidRPr="009B362D" w:rsidRDefault="00ED203B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09598B8D" w14:textId="5167ACFB" w:rsidR="007E5360" w:rsidRPr="009B362D" w:rsidRDefault="007E5360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Evidenzlag</w:t>
            </w:r>
            <w:r w:rsidR="00F64210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 für</w:t>
            </w:r>
            <w:r w:rsidR="007A4958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die</w:t>
            </w:r>
            <w:r w:rsidR="00F64210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C175A2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Behandlung von diffus</w:t>
            </w:r>
            <w:r w:rsidR="00E4060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em</w:t>
            </w:r>
            <w:r w:rsidR="00C175A2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großzelligem B-Zell-Lymphom (DLBCL):</w:t>
            </w:r>
          </w:p>
          <w:p w14:paraId="0416FC7E" w14:textId="77777777" w:rsidR="004D76C1" w:rsidRPr="009B362D" w:rsidRDefault="004D76C1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6B775FC7" w14:textId="65682CCE" w:rsidR="007E5360" w:rsidRDefault="007E5360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In der nicht-randomisierten Phase I/II-Studie EPCORE NHL-1</w:t>
            </w:r>
            <w:r w:rsidR="00BC7A99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(GCT3013-01) erhielten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Patienten mit diffus großzelligem B</w:t>
            </w:r>
            <w:r w:rsidR="00ED203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Zell-Lymphom (DLBCL), die nach mindestens zwei Linien einer systemischen Therapie eine refraktäre oder</w:t>
            </w:r>
            <w:r w:rsidR="008D345F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rezidivierte Erkrankung zeigten, Epcoritamab als Monotherapie. Bei DLBCL-Patienten unter Epcoritamab</w:t>
            </w:r>
            <w:r w:rsidR="00171C5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-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Behandlung wurde ein medianes Gesamtüberleben von 19,4 Monaten</w:t>
            </w:r>
            <w:r w:rsidR="0087693D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AA0B81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beobachtet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. Die Gesamtansprechrate liegt bei 62%, mit</w:t>
            </w:r>
            <w:r w:rsidR="00F95BBF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einer Dauer von 1,4 Monaten bis zum Ansprechen. </w:t>
            </w:r>
            <w:r w:rsidR="005D4B63">
              <w:rPr>
                <w:rFonts w:ascii="Arial Narrow" w:eastAsia="Times New Roman" w:hAnsi="Arial Narrow" w:cs="Times New Roman"/>
                <w:sz w:val="22"/>
                <w:lang w:eastAsia="de-DE"/>
              </w:rPr>
              <w:t>40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% der Patienten erfuhren eine komplette Remission, mit</w:t>
            </w:r>
            <w:r w:rsidR="00F95BBF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einer medianen Dauer bis zur kompletten Remission von 2,</w:t>
            </w:r>
            <w:r w:rsidR="00AA7310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6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Monaten</w:t>
            </w:r>
            <w:r w:rsidR="005D4B63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. </w:t>
            </w:r>
            <w:r w:rsidR="00562864" w:rsidRPr="00562864">
              <w:rPr>
                <w:rFonts w:ascii="Arial Narrow" w:eastAsia="Times New Roman" w:hAnsi="Arial Narrow" w:cs="Times New Roman"/>
                <w:sz w:val="22"/>
                <w:lang w:eastAsia="de-DE"/>
              </w:rPr>
              <w:t>Die mediane Dauer der Komplettremissionen betrug 32.0 Monate. Patienten mit lang andauernder kompletter Remission (nach 2 Jahren) waren auch nach 3 Jahren zu 96% weiterhin in kompletter Remission.</w:t>
            </w:r>
          </w:p>
          <w:p w14:paraId="4C8DAAA9" w14:textId="77777777" w:rsidR="00FB4991" w:rsidRDefault="00FB4991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29A0EB02" w14:textId="6DEC71A5" w:rsidR="00FB4991" w:rsidRPr="009F2977" w:rsidRDefault="00DD79FB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F2977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Die randomisierte offene Phase-III Studie zu Epcoritamab (GCT3013-05) untersucht an Patient*innen mit R/R DLBCL als </w:t>
            </w:r>
            <w:r w:rsidR="00E16EF4" w:rsidRPr="00E16EF4">
              <w:rPr>
                <w:rFonts w:ascii="Arial Narrow" w:eastAsia="Times New Roman" w:hAnsi="Arial Narrow" w:cs="Times New Roman"/>
                <w:sz w:val="22"/>
                <w:lang w:eastAsia="de-DE"/>
              </w:rPr>
              <w:t>duale primäre Endpunkte das Gesamtüberleben (OS) und progressionsfreie Überleben (PFS)</w:t>
            </w:r>
            <w:r w:rsidR="00E16EF4">
              <w:rPr>
                <w:rFonts w:ascii="Arial Narrow" w:eastAsia="Times New Roman" w:hAnsi="Arial Narrow" w:cs="Times New Roman"/>
                <w:sz w:val="22"/>
                <w:lang w:eastAsia="de-DE"/>
              </w:rPr>
              <w:t>,</w:t>
            </w:r>
            <w:r w:rsidR="00E16EF4" w:rsidRPr="00E16EF4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sowie weiterhin </w:t>
            </w:r>
            <w:r w:rsidRPr="009F2977">
              <w:rPr>
                <w:rFonts w:ascii="Arial Narrow" w:eastAsia="Times New Roman" w:hAnsi="Arial Narrow" w:cs="Times New Roman"/>
                <w:sz w:val="22"/>
                <w:lang w:eastAsia="de-DE"/>
              </w:rPr>
              <w:t>die Gesamtansprechrate (</w:t>
            </w:r>
            <w:r w:rsidR="00FA2A04">
              <w:rPr>
                <w:rFonts w:ascii="Arial Narrow" w:eastAsia="Times New Roman" w:hAnsi="Arial Narrow" w:cs="Times New Roman"/>
                <w:sz w:val="22"/>
                <w:lang w:eastAsia="de-DE"/>
              </w:rPr>
              <w:t>Overall</w:t>
            </w:r>
            <w:r w:rsidRPr="009F2977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Response Rate, ORR), Dauer des Ansprechens (Duration of Response, DOR), Zeit bis zum Ansprechen (Time to Respon</w:t>
            </w:r>
            <w:r w:rsidR="00916238">
              <w:rPr>
                <w:rFonts w:ascii="Arial Narrow" w:eastAsia="Times New Roman" w:hAnsi="Arial Narrow" w:cs="Times New Roman"/>
                <w:sz w:val="22"/>
                <w:lang w:eastAsia="de-DE"/>
              </w:rPr>
              <w:t>se</w:t>
            </w:r>
            <w:r w:rsidRPr="009F2977">
              <w:rPr>
                <w:rFonts w:ascii="Arial Narrow" w:eastAsia="Times New Roman" w:hAnsi="Arial Narrow" w:cs="Times New Roman"/>
                <w:sz w:val="22"/>
                <w:lang w:eastAsia="de-DE"/>
              </w:rPr>
              <w:t>) und Sicherheit und wird voraussichtlich 2028 beendet.</w:t>
            </w:r>
          </w:p>
          <w:p w14:paraId="4A48270E" w14:textId="77777777" w:rsidR="003A51AB" w:rsidRPr="00EA41DE" w:rsidRDefault="003A51AB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2FBB1F2D" w14:textId="451DDAED" w:rsidR="00ED0BAC" w:rsidRDefault="00ED0BAC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50B19C0B" w14:textId="7888ECAA" w:rsidR="0092697B" w:rsidRPr="00B0686A" w:rsidRDefault="00191F8A" w:rsidP="00B0686A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C70D0">
              <w:rPr>
                <w:rFonts w:ascii="Arial Narrow" w:eastAsia="Times New Roman" w:hAnsi="Arial Narrow" w:cs="Times New Roman"/>
                <w:sz w:val="22"/>
                <w:lang w:eastAsia="de-DE"/>
              </w:rPr>
              <w:t>Quelle</w:t>
            </w:r>
            <w:r w:rsidR="00033EB9" w:rsidRPr="008C70D0">
              <w:rPr>
                <w:rFonts w:ascii="Arial Narrow" w:eastAsia="Times New Roman" w:hAnsi="Arial Narrow" w:cs="Times New Roman"/>
                <w:sz w:val="22"/>
                <w:lang w:eastAsia="de-DE"/>
              </w:rPr>
              <w:t>n</w:t>
            </w:r>
            <w:r w:rsidRPr="008C70D0">
              <w:rPr>
                <w:rFonts w:ascii="Arial Narrow" w:eastAsia="Times New Roman" w:hAnsi="Arial Narrow" w:cs="Times New Roman"/>
                <w:sz w:val="22"/>
                <w:lang w:eastAsia="de-DE"/>
              </w:rPr>
              <w:t>:</w:t>
            </w:r>
          </w:p>
          <w:p w14:paraId="7A98D757" w14:textId="11BF0B88" w:rsidR="0092697B" w:rsidRPr="00197F0C" w:rsidRDefault="0092697B" w:rsidP="0092697B">
            <w:pPr>
              <w:pStyle w:val="Listenabsatz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2"/>
                <w:lang w:val="en-GB" w:eastAsia="de-DE"/>
              </w:rPr>
            </w:pPr>
            <w:r w:rsidRPr="0092697B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 xml:space="preserve">European Medicines Agency (EMA). Tepkinly. </w:t>
            </w:r>
            <w:r w:rsidR="00197F0C" w:rsidRPr="00197F0C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(</w:t>
            </w:r>
            <w:r w:rsidRPr="00197F0C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2025</w:t>
            </w:r>
            <w:r w:rsidR="00197F0C" w:rsidRPr="00197F0C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)</w:t>
            </w:r>
            <w:r w:rsidRPr="00197F0C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. https://www.ema.europa.eu/en/medicines/human/EPAR/tepkinly</w:t>
            </w:r>
          </w:p>
          <w:p w14:paraId="53B0E635" w14:textId="3D7421A0" w:rsidR="0092697B" w:rsidRDefault="0092697B" w:rsidP="0092697B">
            <w:pPr>
              <w:pStyle w:val="Listenabsatz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2"/>
                <w:lang w:val="en-GB" w:eastAsia="de-DE"/>
              </w:rPr>
            </w:pPr>
            <w:r w:rsidRPr="0092697B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Gemeinsamer Bundesausschuss (G-BA). Stellungnahme zur Nutzenbewertung des G-BA nach Aufhebung des Orphan-Drug-Status: Epcoritamab. </w:t>
            </w:r>
            <w:r w:rsidR="00197F0C">
              <w:rPr>
                <w:rFonts w:ascii="Arial Narrow" w:eastAsia="Times New Roman" w:hAnsi="Arial Narrow" w:cs="Times New Roman"/>
                <w:sz w:val="22"/>
                <w:lang w:eastAsia="de-DE"/>
              </w:rPr>
              <w:t>(</w:t>
            </w:r>
            <w:r w:rsidRPr="0092697B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2025</w:t>
            </w:r>
            <w:r w:rsidR="00197F0C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)</w:t>
            </w:r>
            <w:r w:rsidRPr="0092697B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, 2–7.</w:t>
            </w:r>
          </w:p>
          <w:p w14:paraId="0A3DA0FE" w14:textId="3E76192F" w:rsidR="0092697B" w:rsidRPr="0092697B" w:rsidRDefault="0092697B" w:rsidP="0092697B">
            <w:pPr>
              <w:pStyle w:val="Listenabsatz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2"/>
                <w:lang w:val="en-GB" w:eastAsia="de-DE"/>
              </w:rPr>
            </w:pPr>
            <w:r w:rsidRPr="0092697B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Thieblemont, Catherine, Yasir H. Karimi, Hervé Ghesquières, et al. “Epcoritamab in Relapsed/Refractory Large B-Cell Lymphoma: 2-Year Follow-up from the Pivotal EPCORE NHL-1 Trial.” Leukemia 38, no. 12 (2024): 2653–2662. https://doi.org/10.1038/s41375-024-02410-8</w:t>
            </w:r>
          </w:p>
          <w:p w14:paraId="3EEF3B45" w14:textId="3DBD26B4" w:rsidR="0092697B" w:rsidRDefault="0092697B" w:rsidP="00B0686A">
            <w:pPr>
              <w:pStyle w:val="Listenabsatz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2"/>
                <w:lang w:val="en-GB" w:eastAsia="de-DE"/>
              </w:rPr>
            </w:pPr>
            <w:r w:rsidRPr="00B0686A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 xml:space="preserve">Thieblemont, Catherine, Martin R. Clausen, Santiago Álvarez-Sierra Balari, et al. “Phase 3 Trial (GCT3013-05) of Epcoritamab versus Standard of Care in Patients with Relapsed or Refractory Diffuse Large B-Cell Lymphoma (DLBCL).” Journal of Clinical Oncology 39, no. 15_suppl (2021): TPS7569. </w:t>
            </w:r>
            <w:hyperlink r:id="rId10" w:history="1">
              <w:r w:rsidR="00540A1B" w:rsidRPr="00A45067">
                <w:rPr>
                  <w:rStyle w:val="Hyperlink"/>
                  <w:rFonts w:ascii="Arial Narrow" w:eastAsia="Times New Roman" w:hAnsi="Arial Narrow"/>
                  <w:sz w:val="22"/>
                  <w:lang w:val="en-GB" w:eastAsia="de-DE"/>
                </w:rPr>
                <w:t>https://doi.org/10.1200/jco.2021.39.15_suppl.tps7569</w:t>
              </w:r>
            </w:hyperlink>
          </w:p>
          <w:p w14:paraId="38CBA13A" w14:textId="77777777" w:rsidR="00540A1B" w:rsidRPr="00540A1B" w:rsidRDefault="00540A1B" w:rsidP="00540A1B">
            <w:pPr>
              <w:pStyle w:val="Listenabsatz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540A1B">
              <w:rPr>
                <w:rFonts w:ascii="Arial Narrow" w:eastAsia="Times New Roman" w:hAnsi="Arial Narrow" w:cs="Times New Roman"/>
                <w:sz w:val="22"/>
                <w:lang w:eastAsia="de-DE"/>
              </w:rPr>
              <w:t>Vose et al. ASH 2024, Poster P4480</w:t>
            </w:r>
          </w:p>
          <w:p w14:paraId="4E065DC3" w14:textId="14E33658" w:rsidR="00540A1B" w:rsidRDefault="00540A1B" w:rsidP="00540A1B">
            <w:pPr>
              <w:pStyle w:val="Listenabsatz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540A1B">
              <w:rPr>
                <w:rFonts w:ascii="Arial Narrow" w:eastAsia="Times New Roman" w:hAnsi="Arial Narrow" w:cs="Times New Roman"/>
                <w:sz w:val="22"/>
                <w:lang w:eastAsia="de-DE"/>
              </w:rPr>
              <w:t>Cheah et al. EHA 2025, Poster PF920</w:t>
            </w:r>
          </w:p>
          <w:p w14:paraId="2C489C6C" w14:textId="05E4F023" w:rsidR="00982675" w:rsidRPr="00982675" w:rsidRDefault="00982675" w:rsidP="00540A1B">
            <w:pPr>
              <w:pStyle w:val="Listenabsatz"/>
              <w:numPr>
                <w:ilvl w:val="0"/>
                <w:numId w:val="3"/>
              </w:numPr>
              <w:rPr>
                <w:rFonts w:ascii="Arial Narrow" w:eastAsia="Times New Roman" w:hAnsi="Arial Narrow" w:cs="Times New Roman"/>
                <w:sz w:val="22"/>
                <w:lang w:val="en-GB" w:eastAsia="de-DE"/>
              </w:rPr>
            </w:pPr>
            <w:r w:rsidRPr="00982675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Clinica</w:t>
            </w:r>
            <w:r w:rsidR="00873716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l</w:t>
            </w:r>
            <w:r w:rsidRPr="00982675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 xml:space="preserve"> Trials</w:t>
            </w:r>
            <w:r w:rsidR="00004334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 xml:space="preserve">, </w:t>
            </w:r>
            <w:r w:rsidR="00004334" w:rsidRPr="00004334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NCT04628494:</w:t>
            </w:r>
            <w:r w:rsidRPr="00982675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 xml:space="preserve"> </w:t>
            </w:r>
            <w:hyperlink r:id="rId11" w:tgtFrame="_blank" w:history="1">
              <w:r w:rsidRPr="00982675">
                <w:rPr>
                  <w:rStyle w:val="Hyperlink"/>
                  <w:rFonts w:ascii="Arial Narrow" w:eastAsia="Times New Roman" w:hAnsi="Arial Narrow"/>
                  <w:sz w:val="22"/>
                  <w:lang w:val="en-GB" w:eastAsia="de-DE"/>
                </w:rPr>
                <w:t>https://www.clinicaltrials.gov/study/NCT04628494</w:t>
              </w:r>
            </w:hyperlink>
          </w:p>
          <w:p w14:paraId="5DA23B58" w14:textId="47383176" w:rsidR="007E5360" w:rsidRPr="009B362D" w:rsidRDefault="007E5360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Dosierung</w:t>
            </w:r>
            <w:r w:rsidR="00C175A2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zur Behandlung von diffus</w:t>
            </w:r>
            <w:r w:rsidR="00E4060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em</w:t>
            </w:r>
            <w:r w:rsidR="00C175A2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großzelligem B-Zell-Lymphom (DLBCL)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: Epcoritamab wird aufdosierend appliziert. </w:t>
            </w:r>
          </w:p>
          <w:p w14:paraId="33CB8818" w14:textId="77777777" w:rsidR="007E5360" w:rsidRPr="009B362D" w:rsidRDefault="007E5360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Die empfohlene Dosis für Epcoritamab beträgt im Behandlungszyklus von 28 Tagen:</w:t>
            </w:r>
          </w:p>
          <w:p w14:paraId="2230D47E" w14:textId="77777777" w:rsidR="007E5360" w:rsidRPr="009B362D" w:rsidRDefault="007E5360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Zyklus 1: 0,16mg / 0,8mg / 48mg / 48mg an Tag 1, 8, 15, 22</w:t>
            </w:r>
          </w:p>
          <w:p w14:paraId="46549C19" w14:textId="77777777" w:rsidR="007E5360" w:rsidRPr="009B362D" w:rsidRDefault="007E5360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Zyklus 2-3: 48mg / 48mg / 48mg / 48mg an Tag 1,8,15,22</w:t>
            </w:r>
          </w:p>
          <w:p w14:paraId="1BC73B07" w14:textId="0E7B1A50" w:rsidR="004D6A65" w:rsidRPr="009B362D" w:rsidRDefault="007E5360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Zyklus 4-9: 48mg / 48mg an Tag 1</w:t>
            </w:r>
            <w:r w:rsidR="0048385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, 15</w:t>
            </w:r>
          </w:p>
          <w:p w14:paraId="081A4678" w14:textId="77777777" w:rsidR="002F3027" w:rsidRPr="009B362D" w:rsidRDefault="002F3027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Ab Zyklus 10: 48mg an Tag 1</w:t>
            </w:r>
          </w:p>
          <w:p w14:paraId="59855250" w14:textId="77777777" w:rsidR="00C175A2" w:rsidRPr="009B362D" w:rsidRDefault="00C175A2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0C699627" w14:textId="77777777" w:rsidR="009C4C81" w:rsidRPr="009B362D" w:rsidRDefault="009C4C81" w:rsidP="007E536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730E101B" w14:textId="6E9635DE" w:rsidR="00F64210" w:rsidRPr="009B362D" w:rsidRDefault="00F64210" w:rsidP="00F6421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Evidenzlage</w:t>
            </w:r>
            <w:r w:rsidR="00C175A2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für</w:t>
            </w:r>
            <w:r w:rsidR="007A4958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die Behandlung </w:t>
            </w:r>
            <w:r w:rsidR="007D54D1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des</w:t>
            </w:r>
            <w:r w:rsidR="00C175A2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B527DF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follikulären Lymphom</w:t>
            </w:r>
            <w:r w:rsidR="007D54D1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s</w:t>
            </w:r>
            <w:r w:rsidR="00B527DF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(FL):</w:t>
            </w:r>
          </w:p>
          <w:p w14:paraId="0FD8AC19" w14:textId="77777777" w:rsidR="00AA1F05" w:rsidRPr="009B362D" w:rsidRDefault="00AA1F05" w:rsidP="00F6421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0FD0BCA3" w14:textId="3380A9A6" w:rsidR="00BA5E4F" w:rsidRPr="00EA41DE" w:rsidRDefault="00A75D6B" w:rsidP="0081467C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In der nicht-randomisierten Phase I/II-Studie EPCORE NHL-1 (Studiennummer GCT3013-01) erhielten Patienten mit rezidiviertem oder refraktärem follikulärem Lymphom (FL), die nach mindestens zwei Linien einer systemischen Therapie behandelt wurden, Epcoritamab als Monotherapie.</w:t>
            </w:r>
            <w:r w:rsidR="00521B41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Bei FL-Patienten unter Epcoritamab-Behandlung wurde eine Gesamtansprechrate (ORR) von 8</w:t>
            </w:r>
            <w:r w:rsidR="005778F1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3</w:t>
            </w:r>
            <w:r w:rsidRPr="009B362D">
              <w:rPr>
                <w:rFonts w:ascii="Arial" w:eastAsia="Times New Roman" w:hAnsi="Arial" w:cs="Arial"/>
                <w:sz w:val="22"/>
                <w:lang w:eastAsia="de-DE"/>
              </w:rPr>
              <w:t> 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% </w:t>
            </w:r>
            <w:r w:rsidR="00E15B9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bei einer medianen Nachbeobachtungszeit von </w:t>
            </w:r>
            <w:r w:rsidR="0096309E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16,2 Monaten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beobachtet, wobei 6</w:t>
            </w:r>
            <w:r w:rsidR="005778F1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3</w:t>
            </w:r>
            <w:r w:rsidRPr="009B362D">
              <w:rPr>
                <w:rFonts w:ascii="Arial" w:eastAsia="Times New Roman" w:hAnsi="Arial" w:cs="Arial"/>
                <w:sz w:val="22"/>
                <w:lang w:eastAsia="de-DE"/>
              </w:rPr>
              <w:t> 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% der Patienten eine komplette Remission (CR) erreichten. </w:t>
            </w:r>
            <w:r w:rsidR="00E90498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Die geschätzte Überlebenswahrscheinlichkeit nach 9 Monaten lag bei 98,8</w:t>
            </w:r>
            <w:r w:rsidR="00E90498" w:rsidRPr="009B362D">
              <w:rPr>
                <w:rFonts w:ascii="Arial" w:eastAsia="Times New Roman" w:hAnsi="Arial" w:cs="Arial"/>
                <w:sz w:val="22"/>
                <w:lang w:eastAsia="de-DE"/>
              </w:rPr>
              <w:t> </w:t>
            </w:r>
            <w:r w:rsidR="00E90498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%.</w:t>
            </w:r>
            <w:r w:rsidR="007B16E7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Die gesch</w:t>
            </w:r>
            <w:r w:rsidR="007B16E7" w:rsidRPr="009B362D">
              <w:rPr>
                <w:rFonts w:ascii="Arial Narrow" w:eastAsia="Times New Roman" w:hAnsi="Arial Narrow" w:cs="Arial Narrow"/>
                <w:sz w:val="22"/>
                <w:lang w:eastAsia="de-DE"/>
              </w:rPr>
              <w:t>ä</w:t>
            </w:r>
            <w:r w:rsidR="007B16E7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tzte Rate des progressionsfreien </w:t>
            </w:r>
            <w:r w:rsidR="007B16E7" w:rsidRPr="009B362D">
              <w:rPr>
                <w:rFonts w:ascii="Arial Narrow" w:eastAsia="Times New Roman" w:hAnsi="Arial Narrow" w:cs="Arial Narrow"/>
                <w:sz w:val="22"/>
                <w:lang w:eastAsia="de-DE"/>
              </w:rPr>
              <w:t>Ü</w:t>
            </w:r>
            <w:r w:rsidR="007B16E7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berlebens nach 18 Monaten betrug 49,4</w:t>
            </w:r>
            <w:r w:rsidR="007B16E7" w:rsidRPr="009B362D">
              <w:rPr>
                <w:rFonts w:ascii="Arial" w:eastAsia="Times New Roman" w:hAnsi="Arial" w:cs="Arial"/>
                <w:sz w:val="22"/>
                <w:lang w:eastAsia="de-DE"/>
              </w:rPr>
              <w:t> </w:t>
            </w:r>
            <w:r w:rsidR="007B16E7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%, die Gesamt</w:t>
            </w:r>
            <w:r w:rsidR="007B16E7" w:rsidRPr="009B362D">
              <w:rPr>
                <w:rFonts w:ascii="Arial Narrow" w:eastAsia="Times New Roman" w:hAnsi="Arial Narrow" w:cs="Arial Narrow"/>
                <w:sz w:val="22"/>
                <w:lang w:eastAsia="de-DE"/>
              </w:rPr>
              <w:t>ü</w:t>
            </w:r>
            <w:r w:rsidR="007B16E7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berlebensrate nach 18 Monaten lag bei 70,2</w:t>
            </w:r>
            <w:r w:rsidR="007B16E7" w:rsidRPr="009B362D">
              <w:rPr>
                <w:rFonts w:ascii="Arial" w:eastAsia="Times New Roman" w:hAnsi="Arial" w:cs="Arial"/>
                <w:sz w:val="22"/>
                <w:lang w:eastAsia="de-DE"/>
              </w:rPr>
              <w:t> </w:t>
            </w:r>
            <w:r w:rsidR="007B16E7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%.</w:t>
            </w:r>
            <w:r w:rsidR="00DB0B0D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81467C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41,9</w:t>
            </w:r>
            <w:r w:rsidR="0081467C" w:rsidRPr="009B362D">
              <w:rPr>
                <w:rFonts w:ascii="Arial" w:eastAsia="Times New Roman" w:hAnsi="Arial" w:cs="Arial"/>
                <w:sz w:val="22"/>
                <w:lang w:eastAsia="de-DE"/>
              </w:rPr>
              <w:t> </w:t>
            </w:r>
            <w:r w:rsidR="0081467C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% der Patienten zeigten einen Progress innerhalb von 24 Monaten nach Initiierung der Erstlinientherapie (POD24).</w:t>
            </w:r>
            <w:r w:rsidR="0045000E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2A4318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Die mediane Anzahl </w:t>
            </w:r>
            <w:r w:rsidR="00751386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der eingeleiteten Zykl</w:t>
            </w:r>
            <w:r w:rsidR="00151691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en</w:t>
            </w:r>
            <w:r w:rsidR="00751386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5917F5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betrug 8 </w:t>
            </w:r>
            <w:r w:rsidR="00B91450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Behandlungszykl</w:t>
            </w:r>
            <w:r w:rsidR="00BF64FD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en</w:t>
            </w:r>
            <w:r w:rsidR="000125C0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, wobei </w:t>
            </w:r>
            <w:r w:rsidR="005535F6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60</w:t>
            </w:r>
            <w:r w:rsidR="005535F6" w:rsidRPr="009B362D">
              <w:rPr>
                <w:rFonts w:ascii="Arial" w:eastAsia="Times New Roman" w:hAnsi="Arial" w:cs="Arial"/>
                <w:sz w:val="22"/>
                <w:lang w:eastAsia="de-DE"/>
              </w:rPr>
              <w:t> </w:t>
            </w:r>
            <w:r w:rsidR="005535F6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% der Patienten mindestens sechs Zyklen erhielten</w:t>
            </w:r>
            <w:r w:rsidR="005535F6" w:rsidRPr="00457641">
              <w:rPr>
                <w:rFonts w:ascii="Arial Narrow" w:eastAsia="Times New Roman" w:hAnsi="Arial Narrow" w:cs="Times New Roman"/>
                <w:color w:val="EE0000"/>
                <w:sz w:val="22"/>
                <w:lang w:eastAsia="de-DE"/>
              </w:rPr>
              <w:t>.</w:t>
            </w:r>
            <w:r w:rsidR="00B737DC" w:rsidRPr="00EA41DE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Epcoritamab stellt eine effektive und gut verträgliche Therapieoption dar, die das Potenzial hat, die Behandlung von FL nachhaltig zu verändern.</w:t>
            </w:r>
          </w:p>
          <w:p w14:paraId="1217A700" w14:textId="5BBAF7AA" w:rsidR="00F57810" w:rsidRPr="00EA41DE" w:rsidRDefault="00F57810" w:rsidP="0081467C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1464E8EB" w14:textId="0040C161" w:rsidR="00F57810" w:rsidRPr="00EA41DE" w:rsidRDefault="00F57810" w:rsidP="0104674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Zur Bewertung der relativen Wirksamkeit wurde eine Matching-Adjusted Indirect Comparison (MAIC) durchgeführt, in der Epcoritamab mit Standard-Chemoimmuntherapie (CIT), Mosunetuzumab </w:t>
            </w:r>
            <w:r w:rsidR="4826F4DC"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oder 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Odronextamab verglichen wurde. Gegenüber SOC/CIT zeigte Epcoritamab eine signifikant höhere ORR von 90,9</w:t>
            </w:r>
            <w:r w:rsidRPr="01046745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 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% vs. 56,8</w:t>
            </w:r>
            <w:r w:rsidRPr="01046745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 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% (p &lt; 0,001) und eine CR von 73,7</w:t>
            </w:r>
            <w:r w:rsidRPr="01046745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 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% vs. 32,0</w:t>
            </w:r>
            <w:r w:rsidRPr="01046745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 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% (p &lt; 0,001). Das progressionsfreie </w:t>
            </w:r>
            <w:r w:rsidRPr="01046745">
              <w:rPr>
                <w:rFonts w:ascii="Arial Narrow" w:eastAsia="Times New Roman" w:hAnsi="Arial Narrow" w:cs="Arial Narrow"/>
                <w:sz w:val="22"/>
                <w:szCs w:val="22"/>
                <w:lang w:eastAsia="de-DE"/>
              </w:rPr>
              <w:t>Ü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berleben (PFS) war ebenfalls signifikant verbessert (Hazard Ratio = 0,321). Im Vergleich zu Mosunetuzumab lag die ORR 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lastRenderedPageBreak/>
              <w:t>bei 90,9</w:t>
            </w:r>
            <w:r w:rsidRPr="01046745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 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% vs. 80,0</w:t>
            </w:r>
            <w:r w:rsidRPr="01046745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 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% (p = 0,067) und die CR bei 72,8</w:t>
            </w:r>
            <w:r w:rsidRPr="01046745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 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% vs. 60,0</w:t>
            </w:r>
            <w:r w:rsidRPr="01046745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 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% (p = 0,159). Gegen</w:t>
            </w:r>
            <w:r w:rsidRPr="01046745">
              <w:rPr>
                <w:rFonts w:ascii="Arial Narrow" w:eastAsia="Times New Roman" w:hAnsi="Arial Narrow" w:cs="Arial Narrow"/>
                <w:sz w:val="22"/>
                <w:szCs w:val="22"/>
                <w:lang w:eastAsia="de-DE"/>
              </w:rPr>
              <w:t>ü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ber Odronextamab zeigte Epcoritamab eine signifikant höhere ORR (91,5</w:t>
            </w:r>
            <w:r w:rsidRPr="01046745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 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% vs. 80,5</w:t>
            </w:r>
            <w:r w:rsidRPr="01046745">
              <w:rPr>
                <w:rFonts w:ascii="Arial" w:eastAsia="Times New Roman" w:hAnsi="Arial" w:cs="Arial"/>
                <w:sz w:val="22"/>
                <w:szCs w:val="22"/>
                <w:lang w:eastAsia="de-DE"/>
              </w:rPr>
              <w:t> 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%, p = 0,026)</w:t>
            </w:r>
            <w:r w:rsidR="2ABD53FC" w:rsidRPr="0104674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.</w:t>
            </w:r>
          </w:p>
          <w:p w14:paraId="0686B920" w14:textId="77777777" w:rsidR="00D75DB6" w:rsidRPr="009B362D" w:rsidRDefault="00D75DB6" w:rsidP="0081467C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297C3A45" w14:textId="0D0EF090" w:rsidR="00D75DB6" w:rsidRPr="009B362D" w:rsidRDefault="00D75DB6" w:rsidP="0081467C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Quelle</w:t>
            </w:r>
            <w:r w:rsidR="00033EB9">
              <w:rPr>
                <w:rFonts w:ascii="Arial Narrow" w:eastAsia="Times New Roman" w:hAnsi="Arial Narrow" w:cs="Times New Roman"/>
                <w:sz w:val="22"/>
                <w:lang w:eastAsia="de-DE"/>
              </w:rPr>
              <w:t>n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: </w:t>
            </w:r>
          </w:p>
          <w:p w14:paraId="50399267" w14:textId="77777777" w:rsidR="00197F0C" w:rsidRPr="00197F0C" w:rsidRDefault="00197F0C" w:rsidP="00197F0C">
            <w:pPr>
              <w:pStyle w:val="Listenabsatz"/>
              <w:numPr>
                <w:ilvl w:val="0"/>
                <w:numId w:val="4"/>
              </w:numPr>
              <w:rPr>
                <w:rFonts w:ascii="Arial Narrow" w:eastAsia="Times New Roman" w:hAnsi="Arial Narrow" w:cs="Times New Roman"/>
                <w:sz w:val="22"/>
                <w:lang w:val="en-GB" w:eastAsia="de-DE"/>
              </w:rPr>
            </w:pPr>
            <w:r w:rsidRPr="00197F0C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European Medicines Agency (EMA). Tepkinly. (2025). https://www.ema.europa.eu/en/medicines/human/EPAR/tepkinly</w:t>
            </w:r>
          </w:p>
          <w:p w14:paraId="799FC11F" w14:textId="47FE3886" w:rsidR="00A6436C" w:rsidRPr="000E6AA0" w:rsidRDefault="00A6436C" w:rsidP="000E6AA0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A6436C">
              <w:rPr>
                <w:rFonts w:ascii="Arial Narrow" w:eastAsia="Times New Roman" w:hAnsi="Arial Narrow" w:cs="Times New Roman"/>
                <w:sz w:val="22"/>
                <w:lang w:eastAsia="de-DE"/>
              </w:rPr>
              <w:t>DGHO e.V., und Gemeinsamer Bundesausschuss (G-BA). Stellungnahme zur Nutzenbewertung des G-BA gemäß § 35a SGB V: Epcoritamab (Follikuläres Lymphom)</w:t>
            </w:r>
            <w:r w:rsidR="008F31BE">
              <w:rPr>
                <w:rFonts w:ascii="Arial Narrow" w:eastAsia="Times New Roman" w:hAnsi="Arial Narrow" w:cs="Times New Roman"/>
                <w:sz w:val="22"/>
                <w:lang w:eastAsia="de-DE"/>
              </w:rPr>
              <w:t>,</w:t>
            </w:r>
            <w:r w:rsidRPr="00A6436C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197F0C">
              <w:rPr>
                <w:rFonts w:ascii="Arial Narrow" w:eastAsia="Times New Roman" w:hAnsi="Arial Narrow" w:cs="Times New Roman"/>
                <w:sz w:val="22"/>
                <w:lang w:eastAsia="de-DE"/>
              </w:rPr>
              <w:t>(</w:t>
            </w:r>
            <w:r w:rsidRPr="00A6436C">
              <w:rPr>
                <w:rFonts w:ascii="Arial Narrow" w:eastAsia="Times New Roman" w:hAnsi="Arial Narrow" w:cs="Times New Roman"/>
                <w:sz w:val="22"/>
                <w:lang w:eastAsia="de-DE"/>
              </w:rPr>
              <w:t>2024</w:t>
            </w:r>
            <w:r w:rsidR="00197F0C">
              <w:rPr>
                <w:rFonts w:ascii="Arial Narrow" w:eastAsia="Times New Roman" w:hAnsi="Arial Narrow" w:cs="Times New Roman"/>
                <w:sz w:val="22"/>
                <w:lang w:eastAsia="de-DE"/>
              </w:rPr>
              <w:t>)</w:t>
            </w:r>
            <w:r w:rsidRPr="00A6436C">
              <w:rPr>
                <w:rFonts w:ascii="Arial Narrow" w:eastAsia="Times New Roman" w:hAnsi="Arial Narrow" w:cs="Times New Roman"/>
                <w:sz w:val="22"/>
                <w:lang w:eastAsia="de-DE"/>
              </w:rPr>
              <w:t>, 2–7.</w:t>
            </w:r>
          </w:p>
          <w:p w14:paraId="30ABDCE8" w14:textId="7ECB3EA6" w:rsidR="00A6436C" w:rsidRPr="000E6AA0" w:rsidRDefault="00A6436C" w:rsidP="000E6AA0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val="en-GB" w:eastAsia="de-DE"/>
              </w:rPr>
            </w:pPr>
            <w:r w:rsidRPr="00A6436C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Linton, Kate M., Umberto Vitolo, Wojciech Jurczak, et al. “Epcoritamab Monotherapy in Patients with Relapsed or Refractory Follicular Lymphoma (EPCORE NHL-1): A Phase 2 Cohort of a Single-Arm, Multicentre Study.” The Lancet Haematology 11, no. 8</w:t>
            </w:r>
            <w:r w:rsidR="008F31BE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,</w:t>
            </w:r>
            <w:r w:rsidRPr="00A6436C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 xml:space="preserve"> (2024): e593–e605. https://doi.org/10.1016/s2352-3026(24)00166-2</w:t>
            </w:r>
          </w:p>
          <w:p w14:paraId="6432DDA3" w14:textId="562F5B91" w:rsidR="00A6436C" w:rsidRPr="000E6AA0" w:rsidRDefault="00A6436C" w:rsidP="000E6AA0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val="en-GB" w:eastAsia="de-DE"/>
              </w:rPr>
            </w:pPr>
            <w:r w:rsidRPr="00A6436C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 xml:space="preserve">Bonello, Fabio, Pietro M. M. Frascione, Davide Faraci, and Umberto Vitolo. “An Evaluation of Epcoritamab as a Treatment for Relapsed or Refractory Follicular Lymphoma.” </w:t>
            </w:r>
            <w:r w:rsidR="005118A5" w:rsidRPr="00A6436C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Expert Review of Anticancer Therap</w:t>
            </w:r>
            <w:r w:rsidR="008F31BE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,</w:t>
            </w:r>
            <w:r w:rsidR="00661CC0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 xml:space="preserve"> (</w:t>
            </w:r>
            <w:r w:rsidRPr="00A6436C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2025</w:t>
            </w:r>
            <w:r w:rsidR="00661CC0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)</w:t>
            </w:r>
            <w:r w:rsidRPr="00A6436C">
              <w:rPr>
                <w:rFonts w:ascii="Arial Narrow" w:eastAsia="Times New Roman" w:hAnsi="Arial Narrow" w:cs="Times New Roman"/>
                <w:sz w:val="22"/>
                <w:lang w:val="en-GB" w:eastAsia="de-DE"/>
              </w:rPr>
              <w:t>. https://doi.org/10.1080/14737140.2025.2492787</w:t>
            </w:r>
          </w:p>
          <w:p w14:paraId="009B0954" w14:textId="0301811B" w:rsidR="00A6436C" w:rsidRPr="00D4266B" w:rsidRDefault="00A6436C" w:rsidP="0104674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n-GB" w:eastAsia="de-DE"/>
              </w:rPr>
            </w:pP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val="en-GB" w:eastAsia="de-DE"/>
              </w:rPr>
              <w:t xml:space="preserve">Danilov, Alexey V., Srinivas Thiruvengadam, </w:t>
            </w:r>
            <w:r w:rsidR="6E0F28E7" w:rsidRPr="01046745">
              <w:rPr>
                <w:rFonts w:ascii="Arial Narrow" w:eastAsia="Times New Roman" w:hAnsi="Arial Narrow" w:cs="Times New Roman"/>
                <w:sz w:val="22"/>
                <w:szCs w:val="22"/>
                <w:lang w:val="en-GB" w:eastAsia="de-DE"/>
              </w:rPr>
              <w:t xml:space="preserve">Kim 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val="en-GB" w:eastAsia="de-DE"/>
              </w:rPr>
              <w:t>Linton, et al. “Indirect Comparison of Epcoritamab vs Chemoimmunotherapy, Mosunetuzumab, or Odronextamab in Follicular Lymphoma.” Blood Advances 9, no. 15</w:t>
            </w:r>
            <w:r w:rsidR="008F31BE" w:rsidRPr="01046745">
              <w:rPr>
                <w:rFonts w:ascii="Arial Narrow" w:eastAsia="Times New Roman" w:hAnsi="Arial Narrow" w:cs="Times New Roman"/>
                <w:sz w:val="22"/>
                <w:szCs w:val="22"/>
                <w:lang w:val="en-GB" w:eastAsia="de-DE"/>
              </w:rPr>
              <w:t>,</w:t>
            </w:r>
            <w:r w:rsidRPr="01046745">
              <w:rPr>
                <w:rFonts w:ascii="Arial Narrow" w:eastAsia="Times New Roman" w:hAnsi="Arial Narrow" w:cs="Times New Roman"/>
                <w:sz w:val="22"/>
                <w:szCs w:val="22"/>
                <w:lang w:val="en-GB" w:eastAsia="de-DE"/>
              </w:rPr>
              <w:t xml:space="preserve"> (2025): 3754–3765. https://doi.org/10.1182/bloodadvances.2024015274</w:t>
            </w:r>
          </w:p>
          <w:p w14:paraId="27E3CDE5" w14:textId="77777777" w:rsidR="0081467C" w:rsidRPr="00EA41DE" w:rsidRDefault="0081467C" w:rsidP="0051323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val="en-US" w:eastAsia="de-DE"/>
              </w:rPr>
            </w:pPr>
          </w:p>
          <w:p w14:paraId="54F24759" w14:textId="77777777" w:rsidR="00F265E3" w:rsidRPr="009B362D" w:rsidRDefault="00F64210" w:rsidP="00F6421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Dosierung</w:t>
            </w:r>
            <w:r w:rsidR="00EA3695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zur Behandlung von follikulärem Lymphom (FL):</w:t>
            </w:r>
            <w:r w:rsidR="00417E6A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</w:p>
          <w:p w14:paraId="601A84EF" w14:textId="6185614A" w:rsidR="00F64210" w:rsidRPr="009B362D" w:rsidRDefault="00F64210" w:rsidP="00F6421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Epcoritamab wird aufdosierend appliziert. </w:t>
            </w:r>
          </w:p>
          <w:p w14:paraId="746AADB9" w14:textId="77777777" w:rsidR="00F64210" w:rsidRPr="009B362D" w:rsidRDefault="00F64210" w:rsidP="00F6421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Die empfohlene Dosis für Epcoritamab beträgt im Behandlungszyklus von 28 Tagen:</w:t>
            </w:r>
          </w:p>
          <w:p w14:paraId="3B977770" w14:textId="31A59E94" w:rsidR="00F64210" w:rsidRPr="009B362D" w:rsidRDefault="00F64210" w:rsidP="00F6421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Zyklus 1: 0,16mg / 0,8mg / </w:t>
            </w:r>
            <w:r w:rsidR="00417E6A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3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mg / 48mg an Tag 1, 8, 15, 22</w:t>
            </w:r>
          </w:p>
          <w:p w14:paraId="3CCDC673" w14:textId="77777777" w:rsidR="00F64210" w:rsidRPr="009B362D" w:rsidRDefault="00F64210" w:rsidP="00F6421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Zyklus 2-3: 48mg / 48mg / 48mg / 48mg an Tag 1,8,15,22</w:t>
            </w:r>
          </w:p>
          <w:p w14:paraId="3D42FD8C" w14:textId="77777777" w:rsidR="00F64210" w:rsidRPr="009B362D" w:rsidRDefault="00F64210" w:rsidP="00F6421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Zyklus 4-9: 48mg / 48mg an Tag 1, 15</w:t>
            </w:r>
          </w:p>
          <w:p w14:paraId="5BA49CBD" w14:textId="4E05C08C" w:rsidR="00F64210" w:rsidRPr="009B362D" w:rsidRDefault="00F64210" w:rsidP="00F6421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Ab Zyklus 10: 48mg an Tag 1</w:t>
            </w:r>
          </w:p>
        </w:tc>
      </w:tr>
    </w:tbl>
    <w:p w14:paraId="74B41BEB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62C16038" w14:textId="77777777" w:rsidTr="009C4C81">
        <w:tc>
          <w:tcPr>
            <w:tcW w:w="9212" w:type="dxa"/>
          </w:tcPr>
          <w:p w14:paraId="3CA00A8C" w14:textId="77E46BA5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Mit welchem OPS wird die Methode verschlüsselt?</w:t>
            </w:r>
          </w:p>
        </w:tc>
      </w:tr>
      <w:tr w:rsidR="009B362D" w:rsidRPr="009B362D" w14:paraId="327510F7" w14:textId="77777777" w:rsidTr="00971440">
        <w:tc>
          <w:tcPr>
            <w:tcW w:w="9212" w:type="dxa"/>
          </w:tcPr>
          <w:p w14:paraId="0E60CBBF" w14:textId="49C88908" w:rsidR="00801866" w:rsidRPr="009B362D" w:rsidRDefault="002B0E0C" w:rsidP="002B0E0C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6-00m.4</w:t>
            </w:r>
          </w:p>
        </w:tc>
      </w:tr>
    </w:tbl>
    <w:p w14:paraId="44CB6844" w14:textId="77777777" w:rsidR="004D6A65" w:rsidRPr="009B362D" w:rsidRDefault="004D6A65" w:rsidP="004D6A65">
      <w:pPr>
        <w:spacing w:after="0" w:line="240" w:lineRule="auto"/>
        <w:jc w:val="center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2675E4CA" w14:textId="77777777">
        <w:tc>
          <w:tcPr>
            <w:tcW w:w="9212" w:type="dxa"/>
          </w:tcPr>
          <w:p w14:paraId="4A6BD923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Anmerkungen zu den Prozeduren</w:t>
            </w:r>
          </w:p>
        </w:tc>
      </w:tr>
      <w:tr w:rsidR="009B362D" w:rsidRPr="009B362D" w14:paraId="2A3B27A7" w14:textId="77777777">
        <w:tc>
          <w:tcPr>
            <w:tcW w:w="9212" w:type="dxa"/>
          </w:tcPr>
          <w:p w14:paraId="35918229" w14:textId="645DA506" w:rsidR="004D6A65" w:rsidRPr="009B362D" w:rsidRDefault="00254D69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254D69">
              <w:rPr>
                <w:rFonts w:ascii="Arial Narrow" w:eastAsia="Times New Roman" w:hAnsi="Arial Narrow" w:cs="Times New Roman"/>
                <w:sz w:val="22"/>
                <w:lang w:eastAsia="de-DE"/>
              </w:rPr>
              <w:t>Ergänzend wird für die Gabe des Antikörpers der Kode OPS 8-547.5 andere Immuntherapie mit bispezifischen Antikörper verschlüsselt</w:t>
            </w:r>
            <w:r>
              <w:rPr>
                <w:rFonts w:ascii="Arial Narrow" w:eastAsia="Times New Roman" w:hAnsi="Arial Narrow" w:cs="Times New Roman"/>
                <w:sz w:val="22"/>
                <w:lang w:eastAsia="de-DE"/>
              </w:rPr>
              <w:t>.</w:t>
            </w:r>
          </w:p>
        </w:tc>
      </w:tr>
    </w:tbl>
    <w:p w14:paraId="3A6CF375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10A4C90B" w14:textId="77777777" w:rsidTr="00541C31">
        <w:tc>
          <w:tcPr>
            <w:tcW w:w="9212" w:type="dxa"/>
          </w:tcPr>
          <w:p w14:paraId="00C4956B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Bei welchen Patienten wird die Methode angewandt (Indikation)?</w:t>
            </w:r>
          </w:p>
        </w:tc>
      </w:tr>
      <w:tr w:rsidR="009B362D" w:rsidRPr="009B362D" w14:paraId="448DFFE2" w14:textId="77777777" w:rsidTr="00541C31">
        <w:tc>
          <w:tcPr>
            <w:tcW w:w="9212" w:type="dxa"/>
          </w:tcPr>
          <w:p w14:paraId="49C9FC3E" w14:textId="51059360" w:rsidR="00541C31" w:rsidRPr="009B362D" w:rsidRDefault="00541C31" w:rsidP="00541C31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Epcoritamab wird angewendet als Monotherapie zur Behandlung von erwachsenen Patienten mit einem rezidivierenden oder refraktären diffusen großzelligen B</w:t>
            </w:r>
            <w:r w:rsidRPr="009B362D">
              <w:rPr>
                <w:rFonts w:ascii="Cambria Math" w:eastAsia="Times New Roman" w:hAnsi="Cambria Math" w:cs="Cambria Math"/>
                <w:sz w:val="22"/>
                <w:szCs w:val="22"/>
                <w:lang w:eastAsia="de-DE"/>
              </w:rPr>
              <w:t>‐</w:t>
            </w: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Zell-Lymphom </w:t>
            </w:r>
            <w:r w:rsidR="00424BB4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(DLBCL) </w:t>
            </w: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(ICD-Kode C83.3 Diffuses gro</w:t>
            </w:r>
            <w:r w:rsidRPr="009B362D">
              <w:rPr>
                <w:rFonts w:ascii="Arial Narrow" w:eastAsia="Times New Roman" w:hAnsi="Arial Narrow" w:cs="Arial Narrow"/>
                <w:sz w:val="22"/>
                <w:szCs w:val="22"/>
                <w:lang w:eastAsia="de-DE"/>
              </w:rPr>
              <w:t>ß</w:t>
            </w: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zelliges B-Zell-Lymphom) nach mindestens 2 Linien einer systemischen Therapie</w:t>
            </w:r>
            <w:r w:rsidR="00761274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.</w:t>
            </w:r>
          </w:p>
          <w:p w14:paraId="4DA23726" w14:textId="77777777" w:rsidR="00541C31" w:rsidRPr="009B362D" w:rsidRDefault="00541C31" w:rsidP="00541C31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71EA924F" w14:textId="77777777" w:rsidR="00060EEA" w:rsidRPr="009B362D" w:rsidRDefault="00541C31" w:rsidP="00060EEA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Epcoritamab wird angewendet als Monotherapie zur Behandlung </w:t>
            </w:r>
            <w:r w:rsidR="00060EEA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von erwachsenen Patienten </w:t>
            </w:r>
          </w:p>
          <w:p w14:paraId="1CC1740E" w14:textId="486B7C82" w:rsidR="00541C31" w:rsidRPr="009B362D" w:rsidRDefault="00060EEA" w:rsidP="00060EEA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mit einem rezidivierenden oder refraktären follikulären Lymphom</w:t>
            </w:r>
            <w:r w:rsidR="002C40AB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(FL)</w:t>
            </w:r>
            <w:r w:rsidR="00541C31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(ICD-Kode </w:t>
            </w:r>
            <w:r w:rsidR="00DE5112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C82.0–C82.</w:t>
            </w:r>
            <w:r w:rsidR="00F85DC7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9</w:t>
            </w:r>
            <w:r w:rsidR="009C36A1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-</w:t>
            </w:r>
            <w:r w:rsidR="00541C31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D45C8D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Follikuläres Lymphom</w:t>
            </w:r>
            <w:r w:rsidR="00541C31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) nach mindestens 2 Linien einer systemischen Therapie</w:t>
            </w:r>
            <w:r w:rsidR="00761274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.</w:t>
            </w:r>
          </w:p>
        </w:tc>
      </w:tr>
    </w:tbl>
    <w:p w14:paraId="169E6B8A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7A0AEFCF" w14:textId="77777777" w:rsidTr="490A9075">
        <w:trPr>
          <w:trHeight w:val="234"/>
        </w:trPr>
        <w:tc>
          <w:tcPr>
            <w:tcW w:w="9212" w:type="dxa"/>
          </w:tcPr>
          <w:p w14:paraId="5690549D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Welche bestehende Methode wird durch die neue Methode abgelöst oder ergänzt?</w:t>
            </w:r>
          </w:p>
        </w:tc>
      </w:tr>
      <w:tr w:rsidR="009B362D" w:rsidRPr="009B362D" w14:paraId="41587194" w14:textId="77777777" w:rsidTr="490A9075">
        <w:tc>
          <w:tcPr>
            <w:tcW w:w="9212" w:type="dxa"/>
          </w:tcPr>
          <w:p w14:paraId="21EFA277" w14:textId="672175A5" w:rsidR="00FD4EDF" w:rsidRPr="009B362D" w:rsidRDefault="00FD4EDF" w:rsidP="00FD4ED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Epcoritamab ergänzt die bisherigen Therapien rezidivierter oder refraktärer diffus großzelliger </w:t>
            </w:r>
            <w:r w:rsidR="00A25C0C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B</w:t>
            </w:r>
            <w:r w:rsidR="00A25C0C" w:rsidRPr="009B362D">
              <w:rPr>
                <w:rFonts w:ascii="Cambria Math" w:eastAsia="Times New Roman" w:hAnsi="Cambria Math" w:cs="Cambria Math"/>
                <w:sz w:val="22"/>
                <w:szCs w:val="22"/>
                <w:lang w:eastAsia="de-DE"/>
              </w:rPr>
              <w:t>‐</w:t>
            </w:r>
            <w:r w:rsidR="00A25C0C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Zell-</w:t>
            </w: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Lymphome</w:t>
            </w:r>
            <w:r w:rsidR="00061EFF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und </w:t>
            </w:r>
            <w:r w:rsidR="00330F83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rezidivierende</w:t>
            </w:r>
            <w:r w:rsidR="00C87B23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r</w:t>
            </w:r>
            <w:r w:rsidR="00330F83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oder refraktäre</w:t>
            </w:r>
            <w:r w:rsidR="00C87B23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r</w:t>
            </w:r>
            <w:r w:rsidR="00330F83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follikuläre</w:t>
            </w:r>
            <w:r w:rsidR="00C87B23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r</w:t>
            </w:r>
            <w:r w:rsidR="00330F83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Lymphom</w:t>
            </w:r>
            <w:r w:rsidR="00C87B23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e.</w:t>
            </w:r>
          </w:p>
          <w:p w14:paraId="0DF360BF" w14:textId="77777777" w:rsidR="00FD4EDF" w:rsidRPr="009B362D" w:rsidRDefault="00FD4EDF" w:rsidP="00FD4ED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55229920" w14:textId="65D9920B" w:rsidR="00FD4EDF" w:rsidRPr="009B362D" w:rsidRDefault="00FD4EDF" w:rsidP="00FD4ED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Die Klasse der bispezifischen Antikörper stellt einen neuen, innovativen Therapieansatz </w:t>
            </w:r>
            <w:r w:rsidR="0097022C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i</w:t>
            </w:r>
            <w:r w:rsidR="00996EC1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m</w:t>
            </w: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Therapiefeld R/R</w:t>
            </w:r>
            <w:r w:rsidR="00DA2BDC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DLBCL</w:t>
            </w:r>
            <w:r w:rsidR="00FD0312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dar. In der Drittlinienbehandlung im DLBCL </w:t>
            </w:r>
            <w:r w:rsidR="00901C5B" w:rsidRPr="00901C5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stehen mit Glofitamab und Odronextamab zwei weitere bispezifische Antikörper zur Verfügung, die beide intravenös verabreicht werden im Gegensatz zur subkutanen Gabe von Epcoritamab.</w:t>
            </w: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Glofitamab hat 202</w:t>
            </w:r>
            <w:r w:rsidR="00EB24E5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5</w:t>
            </w: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den NUB-Status 1 erhalten.</w:t>
            </w:r>
            <w:r w:rsidR="00C636B8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Odronextamab ist seit dem 1. </w:t>
            </w:r>
            <w:r w:rsidR="00D10D99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August 2025 auf dem deutsche</w:t>
            </w:r>
            <w:r w:rsidR="00836549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n Markt verfügbar.</w:t>
            </w:r>
          </w:p>
          <w:p w14:paraId="7A33888C" w14:textId="77777777" w:rsidR="00DA2BDC" w:rsidRPr="009B362D" w:rsidRDefault="00DA2BDC" w:rsidP="00FD4ED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43224D24" w14:textId="77777777" w:rsidR="0079268A" w:rsidRPr="0079268A" w:rsidRDefault="0079268A" w:rsidP="0079268A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79268A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Die bispezifischen Antikörper Epcoritamab und Glofitamab werden in der Drittlinienbehandlung des DLBCL empfohlen nach vorangegangener CAR-T-Zelltherapie. Alternativ steht für diese Gruppe auch die allogene Stammzelltransplantation zur Verfügung.</w:t>
            </w:r>
          </w:p>
          <w:p w14:paraId="15F628C9" w14:textId="77777777" w:rsidR="0079268A" w:rsidRPr="0079268A" w:rsidRDefault="0079268A" w:rsidP="0079268A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79268A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Patienten, die bisher noch keine CAR-T-Zelltherapie erhalten haben, aber für diese geeignet sind, sollen entsprechend mit einer CAR-T-Zelltherapie behandelt werden.</w:t>
            </w:r>
          </w:p>
          <w:p w14:paraId="1F875E2B" w14:textId="77777777" w:rsidR="0079268A" w:rsidRPr="0079268A" w:rsidRDefault="0079268A" w:rsidP="0079268A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79268A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Für Patienten, die nicht für eine CAR-T-Zelltherapie geeignet sind und diese auch bisher nicht erhalten haben, stehen neben den bispezifischen Antikörpern Epcoritamab und Glofitamab auch noch die Optionen Polatuzumab-Vedotin + Bendamustin und Rituximab (Pola-BR), Tafasitmab + Lenalidomid (Tafa-Len), Loncastuximab-Tesirin und Chemoimmuntherapien zur Verfügung.</w:t>
            </w:r>
          </w:p>
          <w:p w14:paraId="74476963" w14:textId="77777777" w:rsidR="00FD0312" w:rsidRPr="009B362D" w:rsidRDefault="00FD0312" w:rsidP="00FD4ED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484FCEB2" w14:textId="77777777" w:rsidR="002C21B3" w:rsidRDefault="002C21B3" w:rsidP="00FD4ED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Alternative Therapiemöglichkeiten</w:t>
            </w:r>
            <w:r w:rsidR="00101401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FA6B3C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des </w:t>
            </w:r>
            <w:r w:rsidR="00101401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FL</w:t>
            </w:r>
            <w:r w:rsidR="00E91814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nach mind. 2 systemischen Therapielinien sind</w:t>
            </w:r>
            <w:r w:rsidR="00A366F6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unteranderem Mosunetuzumab</w:t>
            </w:r>
            <w:r w:rsidR="00E44902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(NUB)</w:t>
            </w:r>
            <w:r w:rsidR="00A366F6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, und Odronextamab</w:t>
            </w:r>
            <w:r w:rsidR="002C322D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(NUB)</w:t>
            </w:r>
            <w:r w:rsidR="004D6728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, Zanubrutinib </w:t>
            </w:r>
            <w:r w:rsidR="007B3C3B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(NUB) </w:t>
            </w:r>
            <w:r w:rsidR="004D6728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+ Obinutuzumab </w:t>
            </w:r>
            <w:r w:rsidR="007B3C3B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(</w:t>
            </w:r>
            <w:r w:rsidR="00124868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ZE</w:t>
            </w:r>
            <w:r w:rsidR="007B3C3B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) </w:t>
            </w:r>
            <w:r w:rsidR="004D6728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und Idelalisib</w:t>
            </w:r>
            <w:r w:rsidR="00370029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(NUB)</w:t>
            </w:r>
            <w:r w:rsidR="00CD27E0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, sowie die Behandlung mit CAR-T-Zellen</w:t>
            </w:r>
            <w:r w:rsidR="009947B9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. </w:t>
            </w:r>
          </w:p>
          <w:p w14:paraId="4F4A3BF3" w14:textId="77777777" w:rsidR="007C5D72" w:rsidRDefault="007C5D72" w:rsidP="00FD4ED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  <w:p w14:paraId="5D8AE70D" w14:textId="70A19163" w:rsidR="007C5D72" w:rsidRDefault="007C5D72" w:rsidP="00FD4EDF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Quellen: </w:t>
            </w:r>
          </w:p>
          <w:p w14:paraId="49739A43" w14:textId="2F16786D" w:rsidR="008D6BEB" w:rsidRDefault="008D6BEB" w:rsidP="008D6BEB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D6BE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Gemeinsamer Bundesausschuss (G-BA). Stellungnahme zur Nutzenbewertung des G-BA nach Aufhebung des Orphan-Drug-Status: Epcoritamab</w:t>
            </w:r>
            <w:r w:rsidR="008F31B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,</w:t>
            </w:r>
            <w:r w:rsidRPr="008D6BE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197F0C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(</w:t>
            </w:r>
            <w:r w:rsidRPr="008D6BE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2025</w:t>
            </w:r>
            <w:r w:rsidR="00197F0C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)</w:t>
            </w:r>
            <w:r w:rsidRPr="008D6BE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, 2–7.</w:t>
            </w:r>
          </w:p>
          <w:p w14:paraId="34F4A4C6" w14:textId="61300262" w:rsidR="008D6BEB" w:rsidRDefault="008D6BEB" w:rsidP="008D6BEB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D6BE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DGHO e.V., und Gemeinsamer Bundesausschuss (G-BA). Stellungnahme zur Nutzenbewertung des G-BA gemäß § 35a SGB V: Epcoritamab (Follikuläres Lymphom)</w:t>
            </w:r>
            <w:r w:rsidR="008F31B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,</w:t>
            </w:r>
            <w:r w:rsidRPr="008D6BE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197F0C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(</w:t>
            </w:r>
            <w:r w:rsidRPr="008D6BE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2024</w:t>
            </w:r>
            <w:r w:rsidR="00197F0C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)</w:t>
            </w:r>
            <w:r w:rsidRPr="008D6BE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, 2–7.</w:t>
            </w:r>
          </w:p>
          <w:p w14:paraId="77743A75" w14:textId="06665900" w:rsidR="008D6BEB" w:rsidRDefault="008D6BEB" w:rsidP="008D6BEB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D6BE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Onkopedia. Diffuses großzelliges B-Zell-Lymphom. </w:t>
            </w:r>
            <w:r w:rsidR="001B6DC7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(Stand: Januar 2024)</w:t>
            </w:r>
          </w:p>
          <w:p w14:paraId="7AA6CF28" w14:textId="5709EFC5" w:rsidR="008D6BEB" w:rsidRPr="0070654D" w:rsidRDefault="008D6BEB" w:rsidP="008D6BEB">
            <w:pPr>
              <w:pStyle w:val="Listenabsatz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D6BE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Onkopedia. Follikuläres Lymphom. </w:t>
            </w:r>
            <w:r w:rsidR="0070654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(Stand: Juli 2025)</w:t>
            </w:r>
          </w:p>
          <w:p w14:paraId="3AA404C9" w14:textId="7DCF5857" w:rsidR="003B7D22" w:rsidRPr="008D6BEB" w:rsidRDefault="003B7D22" w:rsidP="001B6DC7">
            <w:pPr>
              <w:pStyle w:val="Listenabsatz"/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</w:p>
        </w:tc>
      </w:tr>
    </w:tbl>
    <w:p w14:paraId="790A1D71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0B0EF8AD" w14:textId="77777777">
        <w:tc>
          <w:tcPr>
            <w:tcW w:w="9212" w:type="dxa"/>
          </w:tcPr>
          <w:p w14:paraId="141880B9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Ist die Methode vollständig oder in Teilen neu und warum handelt es sich um eine neue Untersuchungs- und Behandlungsmethode?</w:t>
            </w:r>
          </w:p>
        </w:tc>
      </w:tr>
      <w:tr w:rsidR="009B362D" w:rsidRPr="009B362D" w14:paraId="0E4FB377" w14:textId="77777777">
        <w:tc>
          <w:tcPr>
            <w:tcW w:w="9212" w:type="dxa"/>
          </w:tcPr>
          <w:p w14:paraId="76DCC3C7" w14:textId="4C30A767" w:rsidR="00364D9A" w:rsidRPr="009B362D" w:rsidRDefault="00297F43" w:rsidP="00297F43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Die Wirkstoffklasse der bispezifischen CD3/CD20-Antikörper ist ein neuer, innovativer Therapieansatz im R/R DLBCL</w:t>
            </w:r>
            <w:r w:rsidR="00AD08B7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und </w:t>
            </w:r>
            <w:r w:rsidR="002B69A6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FL</w:t>
            </w: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. Durch zwei Antigenbindestellen (CD3 auf T-Zellen, CD20 auf Lymphomzellen) wird die Induktion der T</w:t>
            </w:r>
            <w:r w:rsidR="007C184E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-</w:t>
            </w:r>
            <w:r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Zell-vermittelten Abtötung von CD20-exprimierenden Tumorzellen ermöglicht</w:t>
            </w:r>
            <w:r w:rsidR="00A43A65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.</w:t>
            </w:r>
          </w:p>
        </w:tc>
      </w:tr>
    </w:tbl>
    <w:p w14:paraId="22A48D9C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38796E0D" w14:textId="77777777">
        <w:tc>
          <w:tcPr>
            <w:tcW w:w="9212" w:type="dxa"/>
          </w:tcPr>
          <w:p w14:paraId="1DD9680D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Welche Auswirkungen hat die Methode auf die Verweildauer im Krankenhaus?</w:t>
            </w:r>
          </w:p>
        </w:tc>
      </w:tr>
      <w:tr w:rsidR="009B362D" w:rsidRPr="009B362D" w14:paraId="2E07E623" w14:textId="77777777">
        <w:trPr>
          <w:trHeight w:val="264"/>
        </w:trPr>
        <w:tc>
          <w:tcPr>
            <w:tcW w:w="9212" w:type="dxa"/>
          </w:tcPr>
          <w:p w14:paraId="257FAC76" w14:textId="110280DF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Zur Veränderung der Verweildauer im Krankenhaus können derzeit aufgrund fehlender Erfahrungen keine Aussagen gemacht werden.</w:t>
            </w:r>
          </w:p>
        </w:tc>
      </w:tr>
    </w:tbl>
    <w:p w14:paraId="00149A32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1B91E869" w14:textId="77777777">
        <w:tc>
          <w:tcPr>
            <w:tcW w:w="9212" w:type="dxa"/>
          </w:tcPr>
          <w:p w14:paraId="316C1C99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Wann wurde diese Methode in Deutschland eingeführt?</w:t>
            </w:r>
          </w:p>
        </w:tc>
      </w:tr>
      <w:tr w:rsidR="009B362D" w:rsidRPr="009B362D" w14:paraId="2553C335" w14:textId="77777777">
        <w:tc>
          <w:tcPr>
            <w:tcW w:w="9212" w:type="dxa"/>
          </w:tcPr>
          <w:p w14:paraId="478DC88E" w14:textId="67A1B84E" w:rsidR="00156207" w:rsidRPr="009B362D" w:rsidRDefault="00156207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Epcoritamab (Tepkinly) wurde in Deutschland im September 2023 eingeführt.</w:t>
            </w:r>
          </w:p>
        </w:tc>
      </w:tr>
    </w:tbl>
    <w:p w14:paraId="19749702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154651E7" w14:textId="77777777">
        <w:tc>
          <w:tcPr>
            <w:tcW w:w="9212" w:type="dxa"/>
          </w:tcPr>
          <w:p w14:paraId="28D1D788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Bei Medikamenten: Wann wurde dieses Medikament zugelassen?</w:t>
            </w:r>
          </w:p>
        </w:tc>
      </w:tr>
      <w:tr w:rsidR="009B362D" w:rsidRPr="009B362D" w14:paraId="7E90F711" w14:textId="77777777">
        <w:tc>
          <w:tcPr>
            <w:tcW w:w="9212" w:type="dxa"/>
          </w:tcPr>
          <w:p w14:paraId="0FC7C9AF" w14:textId="19D1DA71" w:rsidR="004D6A65" w:rsidRPr="009B362D" w:rsidRDefault="00353C0D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Die EU-weite Zulassung erfolgte am 22. September 2023</w:t>
            </w:r>
          </w:p>
        </w:tc>
      </w:tr>
    </w:tbl>
    <w:p w14:paraId="1A6345BB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05CEFB50" w14:textId="77777777">
        <w:tc>
          <w:tcPr>
            <w:tcW w:w="9212" w:type="dxa"/>
          </w:tcPr>
          <w:p w14:paraId="6D76E8D4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lastRenderedPageBreak/>
              <w:t>Wann wurde bzw. wird die Methode in Ihrem Krankenhaus eingeführt?</w:t>
            </w:r>
          </w:p>
        </w:tc>
      </w:tr>
      <w:tr w:rsidR="009B362D" w:rsidRPr="009B362D" w14:paraId="433369F9" w14:textId="77777777">
        <w:tc>
          <w:tcPr>
            <w:tcW w:w="9212" w:type="dxa"/>
          </w:tcPr>
          <w:p w14:paraId="708BEDEC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</w:tbl>
    <w:p w14:paraId="26755D62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44E4AEFE" w14:textId="77777777">
        <w:tc>
          <w:tcPr>
            <w:tcW w:w="9212" w:type="dxa"/>
          </w:tcPr>
          <w:p w14:paraId="7F8C4FF7" w14:textId="4D62A2EA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In wie vielen Kliniken wird diese Methode derzeit eingesetzt (Schätzung)?</w:t>
            </w:r>
          </w:p>
        </w:tc>
      </w:tr>
      <w:tr w:rsidR="009B362D" w:rsidRPr="009B362D" w14:paraId="46A2A8FD" w14:textId="77777777">
        <w:tc>
          <w:tcPr>
            <w:tcW w:w="9212" w:type="dxa"/>
          </w:tcPr>
          <w:p w14:paraId="141A0E48" w14:textId="4D0BC0E2" w:rsidR="004D6A65" w:rsidRPr="009B362D" w:rsidRDefault="008433B6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Gemäß</w:t>
            </w:r>
            <w:r w:rsidR="00042759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§6 Abs. 2 KHEntG: Informationen für 2025 </w:t>
            </w:r>
            <w:r w:rsidR="00575C4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wurde </w:t>
            </w:r>
            <w:r w:rsidR="00B9444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Epcoritamab</w:t>
            </w:r>
            <w:r w:rsidR="00575C4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FF34DA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von </w:t>
            </w:r>
            <w:r w:rsidR="00B9444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378 Krankenhäuser</w:t>
            </w:r>
            <w:r w:rsidR="00D30800">
              <w:rPr>
                <w:rFonts w:ascii="Arial Narrow" w:eastAsia="Times New Roman" w:hAnsi="Arial Narrow" w:cs="Times New Roman"/>
                <w:sz w:val="22"/>
                <w:lang w:eastAsia="de-DE"/>
              </w:rPr>
              <w:t>n</w:t>
            </w:r>
            <w:r w:rsidR="00B9444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angefragt</w:t>
            </w:r>
            <w:r w:rsidR="002355CD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und </w:t>
            </w:r>
            <w:r w:rsidR="002E4D2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erhielt </w:t>
            </w:r>
            <w:r w:rsidR="002355CD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den NUB-Status </w:t>
            </w:r>
            <w:r w:rsidR="002E4D24" w:rsidRPr="009B362D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1.</w:t>
            </w:r>
          </w:p>
        </w:tc>
      </w:tr>
    </w:tbl>
    <w:p w14:paraId="6939BAAA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2D2BF78E" w14:textId="77777777">
        <w:tc>
          <w:tcPr>
            <w:tcW w:w="9212" w:type="dxa"/>
          </w:tcPr>
          <w:p w14:paraId="66BAF3E8" w14:textId="4947D204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Wie viele Patienten wurden in Ihrem Krankenhaus in 202</w:t>
            </w:r>
            <w:r w:rsidR="00690C9B"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4</w:t>
            </w: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oder in 202</w:t>
            </w:r>
            <w:r w:rsidR="00690C9B"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5</w:t>
            </w: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mit dieser Methode behandelt?</w:t>
            </w:r>
          </w:p>
        </w:tc>
      </w:tr>
      <w:tr w:rsidR="009B362D" w:rsidRPr="009B362D" w14:paraId="3A3E1651" w14:textId="77777777">
        <w:tc>
          <w:tcPr>
            <w:tcW w:w="9212" w:type="dxa"/>
          </w:tcPr>
          <w:p w14:paraId="0AC4C81F" w14:textId="2C3B4F41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In 202</w:t>
            </w:r>
            <w:r w:rsidR="00690C9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4</w:t>
            </w:r>
          </w:p>
        </w:tc>
      </w:tr>
      <w:tr w:rsidR="009B362D" w:rsidRPr="009B362D" w14:paraId="2448CAC8" w14:textId="77777777">
        <w:tc>
          <w:tcPr>
            <w:tcW w:w="9212" w:type="dxa"/>
          </w:tcPr>
          <w:p w14:paraId="7AEAFF15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  <w:tr w:rsidR="009B362D" w:rsidRPr="009B362D" w14:paraId="42541E24" w14:textId="77777777">
        <w:tc>
          <w:tcPr>
            <w:tcW w:w="9212" w:type="dxa"/>
          </w:tcPr>
          <w:p w14:paraId="179821C4" w14:textId="406D83A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In 202</w:t>
            </w:r>
            <w:r w:rsidR="00690C9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5</w:t>
            </w:r>
          </w:p>
        </w:tc>
      </w:tr>
      <w:tr w:rsidR="009B362D" w:rsidRPr="009B362D" w14:paraId="35502764" w14:textId="77777777">
        <w:tc>
          <w:tcPr>
            <w:tcW w:w="9212" w:type="dxa"/>
          </w:tcPr>
          <w:p w14:paraId="30151EED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</w:tbl>
    <w:p w14:paraId="5F03F122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6C0EB208" w14:textId="77777777">
        <w:tc>
          <w:tcPr>
            <w:tcW w:w="9212" w:type="dxa"/>
          </w:tcPr>
          <w:p w14:paraId="35467BF8" w14:textId="40DEAA0A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Wieviele Patienten planen Sie im Jahr 202</w:t>
            </w:r>
            <w:r w:rsidR="00690C9B"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6</w:t>
            </w: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mit dieser Methode zu behandeln?</w:t>
            </w:r>
          </w:p>
        </w:tc>
      </w:tr>
      <w:tr w:rsidR="009B362D" w:rsidRPr="009B362D" w14:paraId="077D86FE" w14:textId="77777777">
        <w:tc>
          <w:tcPr>
            <w:tcW w:w="9212" w:type="dxa"/>
          </w:tcPr>
          <w:p w14:paraId="0AD0CE0D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</w:tbl>
    <w:p w14:paraId="75B06F93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219E9DDF" w14:textId="77777777">
        <w:tc>
          <w:tcPr>
            <w:tcW w:w="9212" w:type="dxa"/>
          </w:tcPr>
          <w:p w14:paraId="0CB5482D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9B362D" w:rsidRPr="009B362D" w14:paraId="6BFED95A" w14:textId="77777777">
        <w:tc>
          <w:tcPr>
            <w:tcW w:w="9212" w:type="dxa"/>
          </w:tcPr>
          <w:p w14:paraId="0332501C" w14:textId="77777777" w:rsidR="00620335" w:rsidRPr="009B362D" w:rsidRDefault="0062033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Sachkosten: </w:t>
            </w:r>
          </w:p>
          <w:p w14:paraId="7000D723" w14:textId="77777777" w:rsidR="00620335" w:rsidRPr="009B362D" w:rsidRDefault="0062033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3926A7E3" w14:textId="3831B1A1" w:rsidR="00FD09C2" w:rsidRPr="009B362D" w:rsidRDefault="0061190D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Verfügbare Packungsgrößen: 4 mg/0,8 ml Injektionslösung und 48 mg Injektionslösung.</w:t>
            </w:r>
          </w:p>
          <w:p w14:paraId="59679E2D" w14:textId="77777777" w:rsidR="0061190D" w:rsidRPr="009B362D" w:rsidRDefault="0061190D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3C380742" w14:textId="5126ED36" w:rsidR="00620335" w:rsidRPr="009B362D" w:rsidRDefault="0062033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Der Preis für eine </w:t>
            </w:r>
            <w:r w:rsidR="00B0580E">
              <w:rPr>
                <w:rFonts w:ascii="Arial Narrow" w:eastAsia="Times New Roman" w:hAnsi="Arial Narrow" w:cs="Times New Roman"/>
                <w:sz w:val="22"/>
                <w:lang w:eastAsia="de-DE"/>
              </w:rPr>
              <w:t>Durchstechflasche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Epcoritamab 4mg beträgt </w:t>
            </w:r>
            <w:r w:rsidR="0086729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559,35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€ (</w:t>
            </w:r>
            <w:r w:rsidR="0052425D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inkl.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MwSt)</w:t>
            </w:r>
            <w:r w:rsidR="00F231CF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(gemäß Lauertaxe, Stand</w:t>
            </w:r>
            <w:r w:rsidR="000300B2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: 01.09.2025)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.</w:t>
            </w:r>
          </w:p>
          <w:p w14:paraId="4C7B3496" w14:textId="1951460C" w:rsidR="00620335" w:rsidRPr="009B362D" w:rsidRDefault="0062033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Der Preis für eine </w:t>
            </w:r>
            <w:r w:rsidR="00B0580E">
              <w:rPr>
                <w:rFonts w:ascii="Arial Narrow" w:eastAsia="Times New Roman" w:hAnsi="Arial Narrow" w:cs="Times New Roman"/>
                <w:sz w:val="22"/>
                <w:lang w:eastAsia="de-DE"/>
              </w:rPr>
              <w:t>Durchstechflasche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Epcoritamab 48mg beträgt </w:t>
            </w:r>
            <w:r w:rsidR="00932F5E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6.433,14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€ (in</w:t>
            </w:r>
            <w:r w:rsidR="00283425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k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l. MwSt)</w:t>
            </w:r>
            <w:r w:rsidR="000300B2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(gemäß Lauertaxe, Stand: 01.09.2025)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.</w:t>
            </w:r>
          </w:p>
          <w:p w14:paraId="74095577" w14:textId="77777777" w:rsidR="009B4C95" w:rsidRPr="009B362D" w:rsidRDefault="009B4C9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3ACA3C5C" w14:textId="3768154B" w:rsidR="00D35A1F" w:rsidRPr="009B362D" w:rsidRDefault="00D35A1F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Im 1. Zyklus der Behandlung von DLBCL mit 4 Behandlungstagen</w:t>
            </w:r>
            <w:r w:rsidR="00746136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inkl. </w:t>
            </w:r>
            <w:r w:rsidR="0030335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zwei</w:t>
            </w:r>
            <w:r w:rsidR="00746136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Step-up-dosen</w:t>
            </w:r>
            <w:r w:rsidR="00DE0B5C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(0,16 mg und 0,8 mg)</w:t>
            </w:r>
            <w:r w:rsidR="00746136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und </w:t>
            </w:r>
            <w:r w:rsidR="0030335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zwei</w:t>
            </w:r>
            <w:r w:rsidR="00746136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vollen Dosen</w:t>
            </w:r>
            <w:r w:rsidR="001D4A8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(jeweils 48 mg) </w:t>
            </w:r>
            <w:r w:rsidR="009470CC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betragen die </w:t>
            </w:r>
            <w:r w:rsidR="0054276D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Kosten insgesamt 13.189,00€</w:t>
            </w:r>
            <w:r w:rsidR="00DA5266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(inkl. MwSt) innerhalb</w:t>
            </w:r>
            <w:r w:rsidR="00D4266B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von</w:t>
            </w:r>
            <w:r w:rsidR="004B474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28 Tagen. </w:t>
            </w:r>
          </w:p>
          <w:p w14:paraId="73A01E7C" w14:textId="77777777" w:rsidR="004B4744" w:rsidRPr="009B362D" w:rsidRDefault="004B4744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064BF1C6" w14:textId="21BB8F50" w:rsidR="004B4744" w:rsidRPr="009B362D" w:rsidRDefault="004B4744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Im 1. Zyklus der Behandlung von </w:t>
            </w:r>
            <w:r w:rsidR="00204A52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FL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mit 4 Behandlungstagen </w:t>
            </w:r>
            <w:r w:rsidR="0030335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inkl. drei Step-up-dosen </w:t>
            </w:r>
            <w:r w:rsidR="007D03C3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(0,16 mg, </w:t>
            </w:r>
            <w:r w:rsidR="001E3EBD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0,8 mg und 3 mg) </w:t>
            </w:r>
            <w:r w:rsidR="0030335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und einer vollen Dosis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betragen die Kosten insgesamt </w:t>
            </w:r>
            <w:r w:rsidR="007D03C3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7.649,98€ </w:t>
            </w:r>
            <w:r w:rsidR="00DA5266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(inkl. MwSt)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innerhalb</w:t>
            </w:r>
            <w:r w:rsidR="00D4266B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von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28 Tagen. </w:t>
            </w:r>
          </w:p>
          <w:p w14:paraId="1D5A26CF" w14:textId="77777777" w:rsidR="00D35A1F" w:rsidRPr="009B362D" w:rsidRDefault="00D35A1F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0580CFCB" w14:textId="42F294FD" w:rsidR="00620335" w:rsidRPr="009B362D" w:rsidRDefault="0062033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In der Aufsättigungsphase</w:t>
            </w:r>
            <w:r w:rsidR="000F26F7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bei </w:t>
            </w:r>
            <w:r w:rsidR="007D467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den Therapien gegen </w:t>
            </w:r>
            <w:r w:rsidR="00B708E2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DLBCL und</w:t>
            </w:r>
            <w:r w:rsidR="007D4674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FL </w:t>
            </w:r>
            <w:r w:rsidR="007561BF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von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Zyklus 2 bis 3 werden innerhalb 28 Tagen vier Dosen zu jeweils 48mg appliziert, was wöchentlichen Therapiekosten von </w:t>
            </w:r>
            <w:r w:rsidR="00B52BA7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6.433,14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€ (in</w:t>
            </w:r>
            <w:r w:rsidR="009B4C95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k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l. MwSt) entspr</w:t>
            </w:r>
            <w:r w:rsidR="00D66F31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icht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.</w:t>
            </w:r>
          </w:p>
          <w:p w14:paraId="270061DF" w14:textId="77777777" w:rsidR="007561BF" w:rsidRPr="009B362D" w:rsidRDefault="007561BF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1EB8687A" w14:textId="45BE916B" w:rsidR="007561BF" w:rsidRPr="009B362D" w:rsidRDefault="007561BF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In der Aufsättigungsphase bei den Therapien gegen DLBCL und FL von Zyklus 4 bis 9 werden innerhalb 28 Tagen zwei Dosen zu jeweils 48mg appliziert, was 2-wöchentlichen Therapiekosten von 6.433,14€ (inkl. MwSt) entspricht.</w:t>
            </w:r>
          </w:p>
          <w:p w14:paraId="7E804040" w14:textId="77777777" w:rsidR="00C21BFB" w:rsidRPr="009B362D" w:rsidRDefault="00C21BFB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39B0555F" w14:textId="13E027EA" w:rsidR="00620335" w:rsidRPr="009B362D" w:rsidRDefault="0062033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Nach Abschluss der Aufsättigungsphase (ab Zyklus 10) </w:t>
            </w:r>
            <w:r w:rsidR="007D4210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bei den Therapien gegen DLBCL und FL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betragen die Dauertherapiekosten </w:t>
            </w:r>
            <w:r w:rsidR="00622213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6.433,14</w:t>
            </w:r>
            <w:r w:rsidR="00A45EC3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€</w:t>
            </w:r>
            <w:r w:rsidR="00DA5266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(inkl. MwSt) pro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622213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Monat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.</w:t>
            </w:r>
          </w:p>
          <w:p w14:paraId="2D75EAC6" w14:textId="77777777" w:rsidR="00620335" w:rsidRPr="009B362D" w:rsidRDefault="0062033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3CC7E0F3" w14:textId="77777777" w:rsidR="00620335" w:rsidRPr="009B362D" w:rsidRDefault="0062033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Personalkosten:</w:t>
            </w:r>
          </w:p>
          <w:p w14:paraId="6654FEA4" w14:textId="77777777" w:rsidR="00620335" w:rsidRPr="009B362D" w:rsidRDefault="0062033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5B0D9009" w14:textId="74FC964C" w:rsidR="00620335" w:rsidRPr="009B362D" w:rsidRDefault="0062033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Für die Zubereitung: ca. 10 Minuten (</w:t>
            </w:r>
            <w:r w:rsidR="00A45EC3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MTD-Apotheke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)</w:t>
            </w:r>
          </w:p>
          <w:p w14:paraId="325B873B" w14:textId="77777777" w:rsidR="00620335" w:rsidRPr="009B362D" w:rsidRDefault="0062033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Für die Applikation: ca. 5 Minuten (ÄD) und ca. 5 Minuten (PD)</w:t>
            </w:r>
          </w:p>
          <w:p w14:paraId="49F58BBE" w14:textId="4877F2F4" w:rsidR="004D6A65" w:rsidRPr="009B362D" w:rsidRDefault="00620335" w:rsidP="0062033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Für die Überwachung: ca. 30 Minuten (PD), ca. 10 Minuten (ÄD</w:t>
            </w:r>
            <w:r w:rsidR="00915B6D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)</w:t>
            </w:r>
          </w:p>
        </w:tc>
      </w:tr>
    </w:tbl>
    <w:p w14:paraId="2AE55007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b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251810F0" w14:textId="77777777">
        <w:tc>
          <w:tcPr>
            <w:tcW w:w="9212" w:type="dxa"/>
          </w:tcPr>
          <w:p w14:paraId="3A3BD99C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Welche DRG(s) ist/sind am häufigsten von dieser Methode betroffen?</w:t>
            </w:r>
          </w:p>
        </w:tc>
      </w:tr>
      <w:tr w:rsidR="009B362D" w:rsidRPr="009B362D" w14:paraId="0A234DA8" w14:textId="77777777">
        <w:tc>
          <w:tcPr>
            <w:tcW w:w="9212" w:type="dxa"/>
          </w:tcPr>
          <w:p w14:paraId="274E83CE" w14:textId="6688B865" w:rsidR="00C45F0B" w:rsidRPr="009B362D" w:rsidRDefault="0062033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R61</w:t>
            </w:r>
            <w:r w:rsidR="005875B1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H</w:t>
            </w:r>
          </w:p>
        </w:tc>
      </w:tr>
    </w:tbl>
    <w:p w14:paraId="0766D504" w14:textId="77777777" w:rsidR="004D6A65" w:rsidRPr="009B362D" w:rsidRDefault="004D6A65" w:rsidP="004D6A65">
      <w:pPr>
        <w:spacing w:after="0" w:line="240" w:lineRule="auto"/>
        <w:rPr>
          <w:rFonts w:ascii="Arial Narrow" w:eastAsia="Times New Roman" w:hAnsi="Arial Narrow" w:cs="Times New Roman"/>
          <w:b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9B362D" w:rsidRPr="009B362D" w14:paraId="0DA77C82" w14:textId="77777777">
        <w:tc>
          <w:tcPr>
            <w:tcW w:w="9212" w:type="dxa"/>
          </w:tcPr>
          <w:p w14:paraId="0F06A9A9" w14:textId="77777777" w:rsidR="004D6A65" w:rsidRPr="009B362D" w:rsidRDefault="004D6A65" w:rsidP="004D6A6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Warum ist diese Methode aus Ihrer Sicht derzeit im G-DRG-System nicht sachgerecht abgebildet?</w:t>
            </w:r>
          </w:p>
        </w:tc>
      </w:tr>
      <w:tr w:rsidR="009B362D" w:rsidRPr="009B362D" w14:paraId="1C190594" w14:textId="77777777">
        <w:tc>
          <w:tcPr>
            <w:tcW w:w="9212" w:type="dxa"/>
          </w:tcPr>
          <w:p w14:paraId="1449D5A1" w14:textId="77777777" w:rsidR="00D54E80" w:rsidRPr="009B362D" w:rsidRDefault="00D54E80" w:rsidP="00D54E8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Epcoritamab ist erst seit September 2023 in der EU zugelassen.</w:t>
            </w:r>
          </w:p>
          <w:p w14:paraId="37C39C83" w14:textId="77777777" w:rsidR="00C92682" w:rsidRPr="009B362D" w:rsidRDefault="00C92682" w:rsidP="00D54E8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4CA75C2D" w14:textId="0EFB6C39" w:rsidR="00D54E80" w:rsidRPr="009B362D" w:rsidRDefault="00943069" w:rsidP="00D54E8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Noch existiert kein </w:t>
            </w:r>
            <w:r w:rsidR="00F66C9E">
              <w:rPr>
                <w:rFonts w:ascii="Arial Narrow" w:eastAsia="Times New Roman" w:hAnsi="Arial Narrow" w:cs="Times New Roman"/>
                <w:sz w:val="22"/>
                <w:lang w:eastAsia="de-DE"/>
              </w:rPr>
              <w:t>OPS-Kode, sodass eine patient</w:t>
            </w:r>
            <w:r w:rsidR="00D722DA">
              <w:rPr>
                <w:rFonts w:ascii="Arial Narrow" w:eastAsia="Times New Roman" w:hAnsi="Arial Narrow" w:cs="Times New Roman"/>
                <w:sz w:val="22"/>
                <w:lang w:eastAsia="de-DE"/>
              </w:rPr>
              <w:t>e</w:t>
            </w:r>
            <w:r w:rsidR="00F66C9E">
              <w:rPr>
                <w:rFonts w:ascii="Arial Narrow" w:eastAsia="Times New Roman" w:hAnsi="Arial Narrow" w:cs="Times New Roman"/>
                <w:sz w:val="22"/>
                <w:lang w:eastAsia="de-DE"/>
              </w:rPr>
              <w:t>nspezifische R</w:t>
            </w:r>
            <w:r w:rsidR="00D722DA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ückverfolgung noch nicht möglich </w:t>
            </w:r>
            <w:r w:rsidR="0074237E">
              <w:rPr>
                <w:rFonts w:ascii="Arial Narrow" w:eastAsia="Times New Roman" w:hAnsi="Arial Narrow" w:cs="Times New Roman"/>
                <w:sz w:val="22"/>
                <w:lang w:eastAsia="de-DE"/>
              </w:rPr>
              <w:t>ist</w:t>
            </w:r>
            <w:r w:rsidR="00D54E80" w:rsidRPr="009B362D" w:rsidDel="00943069">
              <w:rPr>
                <w:rFonts w:ascii="Arial Narrow" w:eastAsia="Times New Roman" w:hAnsi="Arial Narrow" w:cs="Times New Roman"/>
                <w:sz w:val="22"/>
                <w:lang w:eastAsia="de-DE"/>
              </w:rPr>
              <w:t>.</w:t>
            </w:r>
            <w:r w:rsidR="006F2B51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EA7B65" w:rsidRPr="00EA7B65">
              <w:rPr>
                <w:rFonts w:ascii="Arial Narrow" w:eastAsia="Times New Roman" w:hAnsi="Arial Narrow" w:cs="Times New Roman"/>
                <w:sz w:val="22"/>
                <w:lang w:eastAsia="de-DE"/>
              </w:rPr>
              <w:t>Somit liegen keine Kosten- und Leistungsinformationen aus den Krankenhäusern vor, um damit eine sachgerechte Abbildung im G-DRG System 2026 zu ermöglichen.</w:t>
            </w:r>
          </w:p>
          <w:p w14:paraId="4B87F919" w14:textId="77777777" w:rsidR="00D54E80" w:rsidRPr="009B362D" w:rsidRDefault="00D54E80" w:rsidP="00D54E8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Die zusätzlichen Kosten von ca. 8.000 € pro Applikation bzw. Woche können aber mit den o.g. Fallpauschalen</w:t>
            </w:r>
          </w:p>
          <w:p w14:paraId="3A6C0A40" w14:textId="77777777" w:rsidR="00D54E80" w:rsidRPr="009B362D" w:rsidRDefault="00D54E80" w:rsidP="00D54E8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allein nicht ausreichend abgebildet werden. </w:t>
            </w:r>
          </w:p>
          <w:p w14:paraId="5DD20EBE" w14:textId="23D2E84C" w:rsidR="00D54E80" w:rsidRDefault="00D54E80" w:rsidP="00D54E8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Aufgrund der hohen Kosten des Medikaments kommt es zu einer Unterfinanzierung in der/den betroffenen DRG.</w:t>
            </w:r>
          </w:p>
          <w:p w14:paraId="69A22EF8" w14:textId="77777777" w:rsidR="00874063" w:rsidRPr="009B362D" w:rsidRDefault="00874063" w:rsidP="00D54E8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3547BC8C" w14:textId="250475DC" w:rsidR="004D6A65" w:rsidRPr="009B362D" w:rsidRDefault="00D54E80" w:rsidP="00D54E80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Das bereits zugelassene Medikament aus der gleichen Substanzklasse Glofitamab hat </w:t>
            </w:r>
            <w:r w:rsidR="00CE55F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im Jahr 202</w:t>
            </w:r>
            <w:r w:rsidR="005C2017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5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den NUB-Status 1 (NUB-Liste Nr. </w:t>
            </w:r>
            <w:r w:rsidR="005C2017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49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)</w:t>
            </w:r>
            <w:r w:rsidR="00CE55FB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erhalten</w:t>
            </w:r>
            <w:r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. Ebenso werden Loncastuximab-Tesirin, Tafasitamab und CAR-T-Zelltherapien als NUB vergütet</w:t>
            </w:r>
            <w:r w:rsidR="00507F50" w:rsidRPr="009B362D">
              <w:rPr>
                <w:rFonts w:ascii="Arial Narrow" w:eastAsia="Times New Roman" w:hAnsi="Arial Narrow" w:cs="Times New Roman"/>
                <w:sz w:val="22"/>
                <w:lang w:eastAsia="de-DE"/>
              </w:rPr>
              <w:t>.</w:t>
            </w:r>
          </w:p>
        </w:tc>
      </w:tr>
    </w:tbl>
    <w:p w14:paraId="4E47C1E7" w14:textId="77777777" w:rsidR="00C03E2D" w:rsidRPr="009B362D" w:rsidRDefault="00C03E2D" w:rsidP="00CD7E12"/>
    <w:sectPr w:rsidR="00C03E2D" w:rsidRPr="009B362D" w:rsidSect="00C40879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3DED" w14:textId="77777777" w:rsidR="00E857A7" w:rsidRDefault="00E857A7" w:rsidP="001B6FDA">
      <w:pPr>
        <w:spacing w:after="0" w:line="240" w:lineRule="auto"/>
      </w:pPr>
      <w:r>
        <w:separator/>
      </w:r>
    </w:p>
  </w:endnote>
  <w:endnote w:type="continuationSeparator" w:id="0">
    <w:p w14:paraId="380D5EE5" w14:textId="77777777" w:rsidR="00E857A7" w:rsidRDefault="00E857A7" w:rsidP="001B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779B" w14:textId="562100F5" w:rsidR="00C40879" w:rsidRPr="00435583" w:rsidRDefault="00C40879">
    <w:pPr>
      <w:pStyle w:val="Fuzeile"/>
      <w:rPr>
        <w:rFonts w:ascii="Arial Narrow" w:hAnsi="Arial Narrow"/>
        <w:sz w:val="20"/>
        <w:szCs w:val="20"/>
      </w:rPr>
    </w:pPr>
    <w:r w:rsidRPr="00435583">
      <w:rPr>
        <w:rFonts w:ascii="Arial Narrow" w:hAnsi="Arial Narrow"/>
        <w:sz w:val="20"/>
        <w:szCs w:val="20"/>
      </w:rPr>
      <w:t xml:space="preserve">NUB-Musteranfrage </w:t>
    </w:r>
    <w:r w:rsidR="00105941" w:rsidRPr="00105941">
      <w:rPr>
        <w:rFonts w:ascii="Arial Narrow" w:hAnsi="Arial Narrow"/>
        <w:sz w:val="20"/>
        <w:szCs w:val="20"/>
      </w:rPr>
      <w:t>Epcoritamab</w:t>
    </w:r>
  </w:p>
  <w:p w14:paraId="456B5EF5" w14:textId="4344D80A" w:rsidR="00C40879" w:rsidRPr="00435583" w:rsidRDefault="00C40879">
    <w:pPr>
      <w:pStyle w:val="Fuzeile"/>
      <w:rPr>
        <w:rFonts w:ascii="Arial Narrow" w:hAnsi="Arial Narrow"/>
        <w:sz w:val="20"/>
        <w:szCs w:val="20"/>
      </w:rPr>
    </w:pPr>
    <w:hyperlink r:id="rId1" w:history="1">
      <w:r w:rsidRPr="00435583">
        <w:rPr>
          <w:rStyle w:val="Hyperlink"/>
          <w:rFonts w:ascii="Arial Narrow" w:hAnsi="Arial Narrow"/>
          <w:sz w:val="20"/>
          <w:szCs w:val="20"/>
        </w:rPr>
        <w:t>Arbeitskreis DRG und Gesundheitsökonomie der Deutschen Gesellschaft für Hämatologie und medizinische Onkologie e.V.</w:t>
      </w:r>
    </w:hyperlink>
  </w:p>
  <w:p w14:paraId="4326BB30" w14:textId="77777777" w:rsidR="00C40879" w:rsidRPr="00435583" w:rsidRDefault="00C40879">
    <w:pPr>
      <w:pStyle w:val="Fuzeile"/>
      <w:rPr>
        <w:rFonts w:ascii="Arial Narrow" w:hAnsi="Arial Narrow"/>
        <w:sz w:val="20"/>
        <w:szCs w:val="20"/>
      </w:rPr>
    </w:pPr>
    <w:r w:rsidRPr="00435583">
      <w:rPr>
        <w:rFonts w:ascii="Arial Narrow" w:hAnsi="Arial Narrow"/>
        <w:sz w:val="20"/>
        <w:szCs w:val="20"/>
      </w:rPr>
      <w:t>www.dgho.de</w:t>
    </w:r>
  </w:p>
  <w:p w14:paraId="37FFA3EA" w14:textId="77777777" w:rsidR="000C2485" w:rsidRDefault="00C40879">
    <w:pPr>
      <w:pStyle w:val="Fuzeile"/>
      <w:rPr>
        <w:rFonts w:ascii="Arial Narrow" w:hAnsi="Arial Narrow"/>
        <w:sz w:val="20"/>
        <w:szCs w:val="20"/>
      </w:rPr>
    </w:pPr>
    <w:r w:rsidRPr="005F5DF9">
      <w:rPr>
        <w:rFonts w:ascii="Arial Narrow" w:hAnsi="Arial Narrow"/>
        <w:sz w:val="20"/>
        <w:szCs w:val="20"/>
      </w:rPr>
      <w:t xml:space="preserve">Seite </w:t>
    </w:r>
    <w:r w:rsidRPr="005F5DF9">
      <w:rPr>
        <w:rFonts w:ascii="Arial Narrow" w:hAnsi="Arial Narrow"/>
        <w:sz w:val="20"/>
        <w:szCs w:val="20"/>
      </w:rPr>
      <w:fldChar w:fldCharType="begin"/>
    </w:r>
    <w:r w:rsidRPr="005F5DF9">
      <w:rPr>
        <w:rFonts w:ascii="Arial Narrow" w:hAnsi="Arial Narrow"/>
        <w:sz w:val="20"/>
        <w:szCs w:val="20"/>
      </w:rPr>
      <w:instrText>PAGE  \* Arabic  \* MERGEFORMAT</w:instrText>
    </w:r>
    <w:r w:rsidRPr="005F5DF9">
      <w:rPr>
        <w:rFonts w:ascii="Arial Narrow" w:hAnsi="Arial Narrow"/>
        <w:sz w:val="20"/>
        <w:szCs w:val="20"/>
      </w:rPr>
      <w:fldChar w:fldCharType="separate"/>
    </w:r>
    <w:r w:rsidRPr="005F5DF9">
      <w:rPr>
        <w:rFonts w:ascii="Arial Narrow" w:hAnsi="Arial Narrow"/>
        <w:sz w:val="20"/>
        <w:szCs w:val="20"/>
      </w:rPr>
      <w:t>1</w:t>
    </w:r>
    <w:r w:rsidRPr="005F5DF9">
      <w:rPr>
        <w:rFonts w:ascii="Arial Narrow" w:hAnsi="Arial Narrow"/>
        <w:sz w:val="20"/>
        <w:szCs w:val="20"/>
      </w:rPr>
      <w:fldChar w:fldCharType="end"/>
    </w:r>
    <w:r w:rsidRPr="005F5DF9">
      <w:rPr>
        <w:rFonts w:ascii="Arial Narrow" w:hAnsi="Arial Narrow"/>
        <w:sz w:val="20"/>
        <w:szCs w:val="20"/>
      </w:rPr>
      <w:t xml:space="preserve"> von </w:t>
    </w:r>
    <w:r w:rsidRPr="005F5DF9">
      <w:rPr>
        <w:rFonts w:ascii="Arial Narrow" w:hAnsi="Arial Narrow"/>
        <w:sz w:val="20"/>
        <w:szCs w:val="20"/>
      </w:rPr>
      <w:fldChar w:fldCharType="begin"/>
    </w:r>
    <w:r w:rsidRPr="005F5DF9">
      <w:rPr>
        <w:rFonts w:ascii="Arial Narrow" w:hAnsi="Arial Narrow"/>
        <w:sz w:val="20"/>
        <w:szCs w:val="20"/>
      </w:rPr>
      <w:instrText>NUMPAGES  \* Arabic  \* MERGEFORMAT</w:instrText>
    </w:r>
    <w:r w:rsidRPr="005F5DF9">
      <w:rPr>
        <w:rFonts w:ascii="Arial Narrow" w:hAnsi="Arial Narrow"/>
        <w:sz w:val="20"/>
        <w:szCs w:val="20"/>
      </w:rPr>
      <w:fldChar w:fldCharType="separate"/>
    </w:r>
    <w:r w:rsidRPr="005F5DF9">
      <w:rPr>
        <w:rFonts w:ascii="Arial Narrow" w:hAnsi="Arial Narrow"/>
        <w:sz w:val="20"/>
        <w:szCs w:val="20"/>
      </w:rPr>
      <w:t>2</w:t>
    </w:r>
    <w:r w:rsidRPr="005F5DF9">
      <w:rPr>
        <w:rFonts w:ascii="Arial Narrow" w:hAnsi="Arial Narrow"/>
        <w:sz w:val="20"/>
        <w:szCs w:val="20"/>
      </w:rPr>
      <w:fldChar w:fldCharType="end"/>
    </w:r>
  </w:p>
  <w:p w14:paraId="3FE806A4" w14:textId="6CD7A549" w:rsidR="00C40879" w:rsidRPr="009741B7" w:rsidRDefault="000C2485">
    <w:pPr>
      <w:pStyle w:val="Fuzeile"/>
      <w:rPr>
        <w:rFonts w:ascii="Arial Narrow" w:hAnsi="Arial Narrow"/>
        <w:sz w:val="20"/>
        <w:szCs w:val="20"/>
        <w:lang w:val="en-US"/>
      </w:rPr>
    </w:pPr>
    <w:r w:rsidRPr="009741B7">
      <w:rPr>
        <w:rFonts w:ascii="Arial Narrow" w:hAnsi="Arial Narrow"/>
        <w:sz w:val="20"/>
        <w:szCs w:val="20"/>
        <w:lang w:val="en-US"/>
      </w:rPr>
      <w:t>26-56 Epcoritamab NUB-Anfrage-DGHO_Stand</w:t>
    </w:r>
    <w:r w:rsidR="009741B7" w:rsidRPr="009741B7">
      <w:rPr>
        <w:rFonts w:ascii="Arial Narrow" w:hAnsi="Arial Narrow"/>
        <w:sz w:val="20"/>
        <w:szCs w:val="20"/>
        <w:lang w:val="en-US"/>
      </w:rPr>
      <w:t xml:space="preserve"> 2025-09-19 fina</w:t>
    </w:r>
    <w:r w:rsidR="009741B7">
      <w:rPr>
        <w:rFonts w:ascii="Arial Narrow" w:hAnsi="Arial Narrow"/>
        <w:sz w:val="20"/>
        <w:szCs w:val="20"/>
        <w:lang w:val="en-US"/>
      </w:rPr>
      <w:t>l</w:t>
    </w:r>
    <w:r w:rsidR="00402CAF" w:rsidRPr="009741B7">
      <w:rPr>
        <w:rFonts w:ascii="Arial Narrow" w:hAnsi="Arial Narrow"/>
        <w:sz w:val="20"/>
        <w:szCs w:val="20"/>
        <w:lang w:val="en-US"/>
      </w:rPr>
      <w:tab/>
    </w:r>
    <w:r w:rsidR="00402CAF" w:rsidRPr="009741B7">
      <w:rPr>
        <w:rFonts w:ascii="Arial Narrow" w:hAnsi="Arial Narrow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BB1C" w14:textId="77777777" w:rsidR="00E857A7" w:rsidRDefault="00E857A7" w:rsidP="001B6FDA">
      <w:pPr>
        <w:spacing w:after="0" w:line="240" w:lineRule="auto"/>
      </w:pPr>
      <w:r>
        <w:separator/>
      </w:r>
    </w:p>
  </w:footnote>
  <w:footnote w:type="continuationSeparator" w:id="0">
    <w:p w14:paraId="5251877A" w14:textId="77777777" w:rsidR="00E857A7" w:rsidRDefault="00E857A7" w:rsidP="001B6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CD33" w14:textId="57C16A36" w:rsidR="00C40879" w:rsidRPr="00F740A8" w:rsidRDefault="00C40879">
    <w:pPr>
      <w:pStyle w:val="Titel"/>
      <w:rPr>
        <w:color w:val="auto"/>
        <w:sz w:val="48"/>
      </w:rPr>
    </w:pPr>
    <w:r w:rsidRPr="004C4F82">
      <w:rPr>
        <w:sz w:val="48"/>
      </w:rPr>
      <w:t xml:space="preserve">NUB Antrag </w:t>
    </w:r>
    <w:r w:rsidRPr="00F740A8">
      <w:rPr>
        <w:color w:val="auto"/>
        <w:sz w:val="48"/>
      </w:rPr>
      <w:t>202</w:t>
    </w:r>
    <w:r w:rsidR="0087687F" w:rsidRPr="00F740A8">
      <w:rPr>
        <w:color w:val="auto"/>
        <w:sz w:val="48"/>
      </w:rPr>
      <w:t>5</w:t>
    </w:r>
    <w:r w:rsidRPr="00F740A8">
      <w:rPr>
        <w:color w:val="auto"/>
        <w:sz w:val="48"/>
      </w:rPr>
      <w:t>/202</w:t>
    </w:r>
    <w:r w:rsidR="0087687F" w:rsidRPr="00F740A8">
      <w:rPr>
        <w:color w:val="auto"/>
        <w:sz w:val="48"/>
      </w:rPr>
      <w:t>6</w:t>
    </w:r>
    <w:r w:rsidRPr="00F740A8">
      <w:rPr>
        <w:color w:val="auto"/>
        <w:sz w:val="48"/>
      </w:rPr>
      <w:t xml:space="preserve"> </w:t>
    </w:r>
  </w:p>
  <w:p w14:paraId="565011AA" w14:textId="59B6BD59" w:rsidR="00C40879" w:rsidRPr="00F740A8" w:rsidRDefault="004B0334">
    <w:pPr>
      <w:pStyle w:val="Titel"/>
      <w:rPr>
        <w:color w:val="auto"/>
        <w:sz w:val="48"/>
      </w:rPr>
    </w:pPr>
    <w:r w:rsidRPr="00F740A8">
      <w:rPr>
        <w:color w:val="auto"/>
        <w:sz w:val="48"/>
      </w:rPr>
      <w:t>Epcoritamab</w:t>
    </w:r>
  </w:p>
  <w:p w14:paraId="58C2956D" w14:textId="77777777" w:rsidR="00C40879" w:rsidRDefault="00C408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3E3"/>
    <w:multiLevelType w:val="hybridMultilevel"/>
    <w:tmpl w:val="0C243E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1A0B"/>
    <w:multiLevelType w:val="hybridMultilevel"/>
    <w:tmpl w:val="05E8E1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706A"/>
    <w:multiLevelType w:val="hybridMultilevel"/>
    <w:tmpl w:val="C5503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A579A"/>
    <w:multiLevelType w:val="hybridMultilevel"/>
    <w:tmpl w:val="3A7E5A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0776"/>
    <w:multiLevelType w:val="hybridMultilevel"/>
    <w:tmpl w:val="1F4AA8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85A67"/>
    <w:multiLevelType w:val="hybridMultilevel"/>
    <w:tmpl w:val="57C8E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F2810"/>
    <w:multiLevelType w:val="hybridMultilevel"/>
    <w:tmpl w:val="6B26EA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10700">
    <w:abstractNumId w:val="3"/>
  </w:num>
  <w:num w:numId="2" w16cid:durableId="569540213">
    <w:abstractNumId w:val="2"/>
  </w:num>
  <w:num w:numId="3" w16cid:durableId="1494486300">
    <w:abstractNumId w:val="1"/>
  </w:num>
  <w:num w:numId="4" w16cid:durableId="1486120895">
    <w:abstractNumId w:val="5"/>
  </w:num>
  <w:num w:numId="5" w16cid:durableId="46801564">
    <w:abstractNumId w:val="0"/>
  </w:num>
  <w:num w:numId="6" w16cid:durableId="582253968">
    <w:abstractNumId w:val="6"/>
  </w:num>
  <w:num w:numId="7" w16cid:durableId="55668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17C923"/>
    <w:rsid w:val="000030EB"/>
    <w:rsid w:val="000038CC"/>
    <w:rsid w:val="00004334"/>
    <w:rsid w:val="000063CB"/>
    <w:rsid w:val="000125C0"/>
    <w:rsid w:val="0001549D"/>
    <w:rsid w:val="00015ECE"/>
    <w:rsid w:val="00017402"/>
    <w:rsid w:val="00027D9F"/>
    <w:rsid w:val="000300B2"/>
    <w:rsid w:val="00031133"/>
    <w:rsid w:val="00033EB9"/>
    <w:rsid w:val="00042759"/>
    <w:rsid w:val="00043B84"/>
    <w:rsid w:val="00045014"/>
    <w:rsid w:val="000505D0"/>
    <w:rsid w:val="0005545D"/>
    <w:rsid w:val="000561D6"/>
    <w:rsid w:val="00060EEA"/>
    <w:rsid w:val="0006116D"/>
    <w:rsid w:val="00061EFF"/>
    <w:rsid w:val="00065997"/>
    <w:rsid w:val="00072E65"/>
    <w:rsid w:val="00075D81"/>
    <w:rsid w:val="000914BC"/>
    <w:rsid w:val="000977D1"/>
    <w:rsid w:val="000A025F"/>
    <w:rsid w:val="000A2165"/>
    <w:rsid w:val="000B2A43"/>
    <w:rsid w:val="000B51D0"/>
    <w:rsid w:val="000C0455"/>
    <w:rsid w:val="000C2485"/>
    <w:rsid w:val="000D014C"/>
    <w:rsid w:val="000D6944"/>
    <w:rsid w:val="000E04A2"/>
    <w:rsid w:val="000E6AA0"/>
    <w:rsid w:val="000E7ED5"/>
    <w:rsid w:val="000F1D29"/>
    <w:rsid w:val="000F26F7"/>
    <w:rsid w:val="000F329B"/>
    <w:rsid w:val="000F787C"/>
    <w:rsid w:val="001001AA"/>
    <w:rsid w:val="00101401"/>
    <w:rsid w:val="00103ADC"/>
    <w:rsid w:val="00105941"/>
    <w:rsid w:val="001135D5"/>
    <w:rsid w:val="001169D9"/>
    <w:rsid w:val="001223D7"/>
    <w:rsid w:val="00124868"/>
    <w:rsid w:val="00127AED"/>
    <w:rsid w:val="00127F9D"/>
    <w:rsid w:val="001317DA"/>
    <w:rsid w:val="00135715"/>
    <w:rsid w:val="00136A56"/>
    <w:rsid w:val="00136E1E"/>
    <w:rsid w:val="0015124C"/>
    <w:rsid w:val="00151691"/>
    <w:rsid w:val="00156207"/>
    <w:rsid w:val="0016066E"/>
    <w:rsid w:val="00163B0C"/>
    <w:rsid w:val="0016455E"/>
    <w:rsid w:val="0016657C"/>
    <w:rsid w:val="00171C5B"/>
    <w:rsid w:val="00180E44"/>
    <w:rsid w:val="00187016"/>
    <w:rsid w:val="00191F8A"/>
    <w:rsid w:val="00197F0C"/>
    <w:rsid w:val="001A304A"/>
    <w:rsid w:val="001A3678"/>
    <w:rsid w:val="001A5F63"/>
    <w:rsid w:val="001A6204"/>
    <w:rsid w:val="001A79D7"/>
    <w:rsid w:val="001A7A12"/>
    <w:rsid w:val="001B1BDA"/>
    <w:rsid w:val="001B6DC7"/>
    <w:rsid w:val="001B6ED2"/>
    <w:rsid w:val="001B6FDA"/>
    <w:rsid w:val="001C0768"/>
    <w:rsid w:val="001C162B"/>
    <w:rsid w:val="001C51CD"/>
    <w:rsid w:val="001C76F6"/>
    <w:rsid w:val="001C7A56"/>
    <w:rsid w:val="001D327E"/>
    <w:rsid w:val="001D4A84"/>
    <w:rsid w:val="001D6086"/>
    <w:rsid w:val="001E2044"/>
    <w:rsid w:val="001E2322"/>
    <w:rsid w:val="001E3EBD"/>
    <w:rsid w:val="001E4705"/>
    <w:rsid w:val="001F6428"/>
    <w:rsid w:val="001F6652"/>
    <w:rsid w:val="00203BA3"/>
    <w:rsid w:val="00204A52"/>
    <w:rsid w:val="00217ADE"/>
    <w:rsid w:val="0022009F"/>
    <w:rsid w:val="002205B2"/>
    <w:rsid w:val="00220B19"/>
    <w:rsid w:val="0022460B"/>
    <w:rsid w:val="00225131"/>
    <w:rsid w:val="00225F65"/>
    <w:rsid w:val="0023102D"/>
    <w:rsid w:val="00232D92"/>
    <w:rsid w:val="002355CD"/>
    <w:rsid w:val="00241E9B"/>
    <w:rsid w:val="00244BD1"/>
    <w:rsid w:val="00245B34"/>
    <w:rsid w:val="002518CB"/>
    <w:rsid w:val="002531F5"/>
    <w:rsid w:val="00254D69"/>
    <w:rsid w:val="002573C7"/>
    <w:rsid w:val="002601FB"/>
    <w:rsid w:val="00264083"/>
    <w:rsid w:val="00265CDA"/>
    <w:rsid w:val="0026694F"/>
    <w:rsid w:val="00267871"/>
    <w:rsid w:val="00277BE4"/>
    <w:rsid w:val="00281803"/>
    <w:rsid w:val="00283425"/>
    <w:rsid w:val="002838DB"/>
    <w:rsid w:val="002975FD"/>
    <w:rsid w:val="00297F43"/>
    <w:rsid w:val="002A4318"/>
    <w:rsid w:val="002B0E0C"/>
    <w:rsid w:val="002B212F"/>
    <w:rsid w:val="002B2F1D"/>
    <w:rsid w:val="002B3B07"/>
    <w:rsid w:val="002B69A6"/>
    <w:rsid w:val="002B7F00"/>
    <w:rsid w:val="002C21B3"/>
    <w:rsid w:val="002C322D"/>
    <w:rsid w:val="002C40AB"/>
    <w:rsid w:val="002C4B93"/>
    <w:rsid w:val="002D228A"/>
    <w:rsid w:val="002D25D5"/>
    <w:rsid w:val="002D3FB1"/>
    <w:rsid w:val="002D62FD"/>
    <w:rsid w:val="002D76A9"/>
    <w:rsid w:val="002E32E4"/>
    <w:rsid w:val="002E4D24"/>
    <w:rsid w:val="002E5D08"/>
    <w:rsid w:val="002F2314"/>
    <w:rsid w:val="002F3027"/>
    <w:rsid w:val="00301E09"/>
    <w:rsid w:val="0030335B"/>
    <w:rsid w:val="00312DC6"/>
    <w:rsid w:val="00315DF7"/>
    <w:rsid w:val="003176F3"/>
    <w:rsid w:val="00320974"/>
    <w:rsid w:val="003251B7"/>
    <w:rsid w:val="00325721"/>
    <w:rsid w:val="00325D50"/>
    <w:rsid w:val="00327F7A"/>
    <w:rsid w:val="00330F83"/>
    <w:rsid w:val="003364D4"/>
    <w:rsid w:val="0034176B"/>
    <w:rsid w:val="00343DD9"/>
    <w:rsid w:val="0034641F"/>
    <w:rsid w:val="003505EF"/>
    <w:rsid w:val="00353C0D"/>
    <w:rsid w:val="003602BF"/>
    <w:rsid w:val="00361CFC"/>
    <w:rsid w:val="00364D9A"/>
    <w:rsid w:val="003655ED"/>
    <w:rsid w:val="00365BEF"/>
    <w:rsid w:val="00370029"/>
    <w:rsid w:val="003723B0"/>
    <w:rsid w:val="00373CF1"/>
    <w:rsid w:val="00383461"/>
    <w:rsid w:val="00384152"/>
    <w:rsid w:val="00391CC3"/>
    <w:rsid w:val="0039614B"/>
    <w:rsid w:val="003A143C"/>
    <w:rsid w:val="003A3494"/>
    <w:rsid w:val="003A51AB"/>
    <w:rsid w:val="003B2295"/>
    <w:rsid w:val="003B3B79"/>
    <w:rsid w:val="003B55AF"/>
    <w:rsid w:val="003B7D22"/>
    <w:rsid w:val="003C3B8C"/>
    <w:rsid w:val="003D303A"/>
    <w:rsid w:val="003E2358"/>
    <w:rsid w:val="003E4553"/>
    <w:rsid w:val="003E4EA1"/>
    <w:rsid w:val="003F3981"/>
    <w:rsid w:val="003F4A76"/>
    <w:rsid w:val="004010A4"/>
    <w:rsid w:val="00402CAF"/>
    <w:rsid w:val="004038B3"/>
    <w:rsid w:val="00404948"/>
    <w:rsid w:val="00417E6A"/>
    <w:rsid w:val="00420DEA"/>
    <w:rsid w:val="0042112C"/>
    <w:rsid w:val="00422611"/>
    <w:rsid w:val="00424BB4"/>
    <w:rsid w:val="00426186"/>
    <w:rsid w:val="0043149B"/>
    <w:rsid w:val="00434D66"/>
    <w:rsid w:val="00437474"/>
    <w:rsid w:val="004444C9"/>
    <w:rsid w:val="0044520F"/>
    <w:rsid w:val="004458AB"/>
    <w:rsid w:val="004476FD"/>
    <w:rsid w:val="0045000E"/>
    <w:rsid w:val="00452C63"/>
    <w:rsid w:val="00453FE4"/>
    <w:rsid w:val="0045569C"/>
    <w:rsid w:val="00456B61"/>
    <w:rsid w:val="00457641"/>
    <w:rsid w:val="00470CFF"/>
    <w:rsid w:val="00474D74"/>
    <w:rsid w:val="00483854"/>
    <w:rsid w:val="00485C07"/>
    <w:rsid w:val="00486642"/>
    <w:rsid w:val="00492273"/>
    <w:rsid w:val="00493A04"/>
    <w:rsid w:val="004A647E"/>
    <w:rsid w:val="004A6648"/>
    <w:rsid w:val="004B0334"/>
    <w:rsid w:val="004B4744"/>
    <w:rsid w:val="004C0026"/>
    <w:rsid w:val="004C52FE"/>
    <w:rsid w:val="004C6AEB"/>
    <w:rsid w:val="004D26C6"/>
    <w:rsid w:val="004D3B74"/>
    <w:rsid w:val="004D3CE1"/>
    <w:rsid w:val="004D6728"/>
    <w:rsid w:val="004D6A65"/>
    <w:rsid w:val="004D76C1"/>
    <w:rsid w:val="004E2863"/>
    <w:rsid w:val="004E415C"/>
    <w:rsid w:val="004E6379"/>
    <w:rsid w:val="004E753C"/>
    <w:rsid w:val="00500B03"/>
    <w:rsid w:val="00502C02"/>
    <w:rsid w:val="00502E1E"/>
    <w:rsid w:val="00507CC3"/>
    <w:rsid w:val="00507F50"/>
    <w:rsid w:val="00511702"/>
    <w:rsid w:val="005118A5"/>
    <w:rsid w:val="0051274D"/>
    <w:rsid w:val="0051323F"/>
    <w:rsid w:val="0051408F"/>
    <w:rsid w:val="00514E5D"/>
    <w:rsid w:val="00515A19"/>
    <w:rsid w:val="00521B41"/>
    <w:rsid w:val="0052230B"/>
    <w:rsid w:val="00523A2D"/>
    <w:rsid w:val="0052425D"/>
    <w:rsid w:val="005251FA"/>
    <w:rsid w:val="00526CBA"/>
    <w:rsid w:val="00540A1B"/>
    <w:rsid w:val="00541C31"/>
    <w:rsid w:val="00541F84"/>
    <w:rsid w:val="005420DE"/>
    <w:rsid w:val="0054276D"/>
    <w:rsid w:val="0054290F"/>
    <w:rsid w:val="00544697"/>
    <w:rsid w:val="005535F6"/>
    <w:rsid w:val="00555058"/>
    <w:rsid w:val="005562FA"/>
    <w:rsid w:val="0055742D"/>
    <w:rsid w:val="00561B31"/>
    <w:rsid w:val="00562864"/>
    <w:rsid w:val="00565BE0"/>
    <w:rsid w:val="005664B4"/>
    <w:rsid w:val="00571279"/>
    <w:rsid w:val="00575641"/>
    <w:rsid w:val="00575C4B"/>
    <w:rsid w:val="005778F1"/>
    <w:rsid w:val="00581F9F"/>
    <w:rsid w:val="00582BBB"/>
    <w:rsid w:val="00583652"/>
    <w:rsid w:val="00585BB1"/>
    <w:rsid w:val="005861BE"/>
    <w:rsid w:val="005875B1"/>
    <w:rsid w:val="005917F5"/>
    <w:rsid w:val="005964AE"/>
    <w:rsid w:val="005A0EAA"/>
    <w:rsid w:val="005A1103"/>
    <w:rsid w:val="005A2137"/>
    <w:rsid w:val="005A4DAF"/>
    <w:rsid w:val="005A6B00"/>
    <w:rsid w:val="005B08DB"/>
    <w:rsid w:val="005C2017"/>
    <w:rsid w:val="005C3018"/>
    <w:rsid w:val="005C5C09"/>
    <w:rsid w:val="005D4B63"/>
    <w:rsid w:val="005D4D73"/>
    <w:rsid w:val="005E3E16"/>
    <w:rsid w:val="005E6F63"/>
    <w:rsid w:val="0060008C"/>
    <w:rsid w:val="00602BB6"/>
    <w:rsid w:val="0061190D"/>
    <w:rsid w:val="00616F9C"/>
    <w:rsid w:val="00620335"/>
    <w:rsid w:val="0062163F"/>
    <w:rsid w:val="00622213"/>
    <w:rsid w:val="00640010"/>
    <w:rsid w:val="006400BE"/>
    <w:rsid w:val="00640C5F"/>
    <w:rsid w:val="0064565E"/>
    <w:rsid w:val="00661CC0"/>
    <w:rsid w:val="0066441D"/>
    <w:rsid w:val="00665E41"/>
    <w:rsid w:val="006670E9"/>
    <w:rsid w:val="0066774E"/>
    <w:rsid w:val="00667F3A"/>
    <w:rsid w:val="00675878"/>
    <w:rsid w:val="00677607"/>
    <w:rsid w:val="00677C38"/>
    <w:rsid w:val="00684CC1"/>
    <w:rsid w:val="006862D8"/>
    <w:rsid w:val="006864BA"/>
    <w:rsid w:val="00690C9B"/>
    <w:rsid w:val="0069209C"/>
    <w:rsid w:val="00696D1C"/>
    <w:rsid w:val="006A1A85"/>
    <w:rsid w:val="006A2B42"/>
    <w:rsid w:val="006A2D26"/>
    <w:rsid w:val="006A39E7"/>
    <w:rsid w:val="006A3B73"/>
    <w:rsid w:val="006A730C"/>
    <w:rsid w:val="006B30FF"/>
    <w:rsid w:val="006B6145"/>
    <w:rsid w:val="006B79DD"/>
    <w:rsid w:val="006C60A1"/>
    <w:rsid w:val="006D129B"/>
    <w:rsid w:val="006D1DB8"/>
    <w:rsid w:val="006D7CA6"/>
    <w:rsid w:val="006E68C1"/>
    <w:rsid w:val="006F2B51"/>
    <w:rsid w:val="0070413C"/>
    <w:rsid w:val="0070654D"/>
    <w:rsid w:val="00707697"/>
    <w:rsid w:val="00716364"/>
    <w:rsid w:val="00716F8B"/>
    <w:rsid w:val="00721111"/>
    <w:rsid w:val="0073495D"/>
    <w:rsid w:val="007352A6"/>
    <w:rsid w:val="0074237E"/>
    <w:rsid w:val="00746136"/>
    <w:rsid w:val="00751386"/>
    <w:rsid w:val="007514D6"/>
    <w:rsid w:val="00753C45"/>
    <w:rsid w:val="007551B6"/>
    <w:rsid w:val="007561BF"/>
    <w:rsid w:val="0076100D"/>
    <w:rsid w:val="00761274"/>
    <w:rsid w:val="00764DCC"/>
    <w:rsid w:val="00766DA9"/>
    <w:rsid w:val="00770D06"/>
    <w:rsid w:val="007754DD"/>
    <w:rsid w:val="00775B2B"/>
    <w:rsid w:val="00780CDD"/>
    <w:rsid w:val="00781AD8"/>
    <w:rsid w:val="00784852"/>
    <w:rsid w:val="00784882"/>
    <w:rsid w:val="0078547A"/>
    <w:rsid w:val="00786129"/>
    <w:rsid w:val="00786C47"/>
    <w:rsid w:val="0079268A"/>
    <w:rsid w:val="0079269B"/>
    <w:rsid w:val="0079733F"/>
    <w:rsid w:val="007A3AA4"/>
    <w:rsid w:val="007A4958"/>
    <w:rsid w:val="007A4A10"/>
    <w:rsid w:val="007A6431"/>
    <w:rsid w:val="007A71E0"/>
    <w:rsid w:val="007B0EC3"/>
    <w:rsid w:val="007B16E7"/>
    <w:rsid w:val="007B1FE5"/>
    <w:rsid w:val="007B3C3B"/>
    <w:rsid w:val="007B4F23"/>
    <w:rsid w:val="007C184E"/>
    <w:rsid w:val="007C39D5"/>
    <w:rsid w:val="007C5D72"/>
    <w:rsid w:val="007D03C3"/>
    <w:rsid w:val="007D1E43"/>
    <w:rsid w:val="007D4210"/>
    <w:rsid w:val="007D4674"/>
    <w:rsid w:val="007D54D1"/>
    <w:rsid w:val="007E400C"/>
    <w:rsid w:val="007E4384"/>
    <w:rsid w:val="007E5360"/>
    <w:rsid w:val="007E6DB8"/>
    <w:rsid w:val="007F18DB"/>
    <w:rsid w:val="007F259D"/>
    <w:rsid w:val="007F5BEC"/>
    <w:rsid w:val="00801866"/>
    <w:rsid w:val="00804170"/>
    <w:rsid w:val="00807BCD"/>
    <w:rsid w:val="00813157"/>
    <w:rsid w:val="0081467C"/>
    <w:rsid w:val="008176FE"/>
    <w:rsid w:val="008203E0"/>
    <w:rsid w:val="00827F12"/>
    <w:rsid w:val="00831DD5"/>
    <w:rsid w:val="0083306A"/>
    <w:rsid w:val="00836549"/>
    <w:rsid w:val="008433B6"/>
    <w:rsid w:val="008434B4"/>
    <w:rsid w:val="0084595E"/>
    <w:rsid w:val="00863E90"/>
    <w:rsid w:val="0086428F"/>
    <w:rsid w:val="00866E0E"/>
    <w:rsid w:val="00867294"/>
    <w:rsid w:val="008703D2"/>
    <w:rsid w:val="00871F0D"/>
    <w:rsid w:val="00873716"/>
    <w:rsid w:val="00874063"/>
    <w:rsid w:val="00876511"/>
    <w:rsid w:val="0087687F"/>
    <w:rsid w:val="0087693D"/>
    <w:rsid w:val="00885857"/>
    <w:rsid w:val="00886954"/>
    <w:rsid w:val="0089268C"/>
    <w:rsid w:val="00895E29"/>
    <w:rsid w:val="0089653B"/>
    <w:rsid w:val="00896FD3"/>
    <w:rsid w:val="008A2C4E"/>
    <w:rsid w:val="008A70CC"/>
    <w:rsid w:val="008B10A7"/>
    <w:rsid w:val="008B14D4"/>
    <w:rsid w:val="008B3260"/>
    <w:rsid w:val="008B3D67"/>
    <w:rsid w:val="008C0780"/>
    <w:rsid w:val="008C090D"/>
    <w:rsid w:val="008C70D0"/>
    <w:rsid w:val="008D345F"/>
    <w:rsid w:val="008D6BEB"/>
    <w:rsid w:val="008E1085"/>
    <w:rsid w:val="008E3AC8"/>
    <w:rsid w:val="008E5C18"/>
    <w:rsid w:val="008E7D8F"/>
    <w:rsid w:val="008F2BA6"/>
    <w:rsid w:val="008F31BE"/>
    <w:rsid w:val="008F35F9"/>
    <w:rsid w:val="008F4E20"/>
    <w:rsid w:val="008F52B9"/>
    <w:rsid w:val="008F722C"/>
    <w:rsid w:val="00901C5B"/>
    <w:rsid w:val="00910B74"/>
    <w:rsid w:val="00912B22"/>
    <w:rsid w:val="00915B6D"/>
    <w:rsid w:val="00916238"/>
    <w:rsid w:val="00922D52"/>
    <w:rsid w:val="00923E35"/>
    <w:rsid w:val="00925DCF"/>
    <w:rsid w:val="0092697B"/>
    <w:rsid w:val="00926E4F"/>
    <w:rsid w:val="00930B1C"/>
    <w:rsid w:val="00931CAA"/>
    <w:rsid w:val="00932F5E"/>
    <w:rsid w:val="009365B1"/>
    <w:rsid w:val="00943069"/>
    <w:rsid w:val="009469E9"/>
    <w:rsid w:val="009470CC"/>
    <w:rsid w:val="009470E4"/>
    <w:rsid w:val="00951B4A"/>
    <w:rsid w:val="00952DA3"/>
    <w:rsid w:val="0095478E"/>
    <w:rsid w:val="00961CC8"/>
    <w:rsid w:val="0096309E"/>
    <w:rsid w:val="00964D6B"/>
    <w:rsid w:val="009654CF"/>
    <w:rsid w:val="0097022C"/>
    <w:rsid w:val="00971440"/>
    <w:rsid w:val="009741B7"/>
    <w:rsid w:val="00974471"/>
    <w:rsid w:val="00981A09"/>
    <w:rsid w:val="00982675"/>
    <w:rsid w:val="00990116"/>
    <w:rsid w:val="00991CAC"/>
    <w:rsid w:val="00992B24"/>
    <w:rsid w:val="009947B9"/>
    <w:rsid w:val="00996EC1"/>
    <w:rsid w:val="009A1676"/>
    <w:rsid w:val="009A2DD1"/>
    <w:rsid w:val="009A30A3"/>
    <w:rsid w:val="009B0B96"/>
    <w:rsid w:val="009B1BA5"/>
    <w:rsid w:val="009B362D"/>
    <w:rsid w:val="009B4C95"/>
    <w:rsid w:val="009C0A3F"/>
    <w:rsid w:val="009C36A1"/>
    <w:rsid w:val="009C4370"/>
    <w:rsid w:val="009C4C81"/>
    <w:rsid w:val="009D7120"/>
    <w:rsid w:val="009E0CAC"/>
    <w:rsid w:val="009E7655"/>
    <w:rsid w:val="009F2977"/>
    <w:rsid w:val="009F378A"/>
    <w:rsid w:val="009F4DDB"/>
    <w:rsid w:val="00A0067F"/>
    <w:rsid w:val="00A0425F"/>
    <w:rsid w:val="00A04F5F"/>
    <w:rsid w:val="00A07E84"/>
    <w:rsid w:val="00A1260D"/>
    <w:rsid w:val="00A21FF3"/>
    <w:rsid w:val="00A227E5"/>
    <w:rsid w:val="00A23AEB"/>
    <w:rsid w:val="00A25403"/>
    <w:rsid w:val="00A25C0C"/>
    <w:rsid w:val="00A31D47"/>
    <w:rsid w:val="00A31FE9"/>
    <w:rsid w:val="00A31FFF"/>
    <w:rsid w:val="00A32173"/>
    <w:rsid w:val="00A33731"/>
    <w:rsid w:val="00A3403F"/>
    <w:rsid w:val="00A351F8"/>
    <w:rsid w:val="00A366F6"/>
    <w:rsid w:val="00A42114"/>
    <w:rsid w:val="00A42ABD"/>
    <w:rsid w:val="00A43A65"/>
    <w:rsid w:val="00A4418B"/>
    <w:rsid w:val="00A44B19"/>
    <w:rsid w:val="00A45832"/>
    <w:rsid w:val="00A45EC3"/>
    <w:rsid w:val="00A473C0"/>
    <w:rsid w:val="00A564E8"/>
    <w:rsid w:val="00A6436C"/>
    <w:rsid w:val="00A717A4"/>
    <w:rsid w:val="00A75D6B"/>
    <w:rsid w:val="00A86505"/>
    <w:rsid w:val="00A86D14"/>
    <w:rsid w:val="00A95978"/>
    <w:rsid w:val="00AA01F2"/>
    <w:rsid w:val="00AA0930"/>
    <w:rsid w:val="00AA0B81"/>
    <w:rsid w:val="00AA1BA9"/>
    <w:rsid w:val="00AA1F05"/>
    <w:rsid w:val="00AA6575"/>
    <w:rsid w:val="00AA7310"/>
    <w:rsid w:val="00AA75BF"/>
    <w:rsid w:val="00AB0738"/>
    <w:rsid w:val="00AB183B"/>
    <w:rsid w:val="00AB6D39"/>
    <w:rsid w:val="00AC21A5"/>
    <w:rsid w:val="00AC2441"/>
    <w:rsid w:val="00AC7469"/>
    <w:rsid w:val="00AD08B7"/>
    <w:rsid w:val="00AD1B34"/>
    <w:rsid w:val="00AD2CE0"/>
    <w:rsid w:val="00AD4147"/>
    <w:rsid w:val="00AD6776"/>
    <w:rsid w:val="00AE096C"/>
    <w:rsid w:val="00AE3002"/>
    <w:rsid w:val="00B0580E"/>
    <w:rsid w:val="00B05AFF"/>
    <w:rsid w:val="00B05C42"/>
    <w:rsid w:val="00B0686A"/>
    <w:rsid w:val="00B06E61"/>
    <w:rsid w:val="00B13E94"/>
    <w:rsid w:val="00B16D55"/>
    <w:rsid w:val="00B17F6E"/>
    <w:rsid w:val="00B21573"/>
    <w:rsid w:val="00B30CE5"/>
    <w:rsid w:val="00B35210"/>
    <w:rsid w:val="00B37624"/>
    <w:rsid w:val="00B418CC"/>
    <w:rsid w:val="00B42D04"/>
    <w:rsid w:val="00B45437"/>
    <w:rsid w:val="00B45A5E"/>
    <w:rsid w:val="00B45DBF"/>
    <w:rsid w:val="00B4696C"/>
    <w:rsid w:val="00B47984"/>
    <w:rsid w:val="00B47C26"/>
    <w:rsid w:val="00B527DF"/>
    <w:rsid w:val="00B52BA7"/>
    <w:rsid w:val="00B52CB7"/>
    <w:rsid w:val="00B55645"/>
    <w:rsid w:val="00B60772"/>
    <w:rsid w:val="00B621AD"/>
    <w:rsid w:val="00B65957"/>
    <w:rsid w:val="00B701C4"/>
    <w:rsid w:val="00B708E2"/>
    <w:rsid w:val="00B737DC"/>
    <w:rsid w:val="00B90CB6"/>
    <w:rsid w:val="00B911B5"/>
    <w:rsid w:val="00B91450"/>
    <w:rsid w:val="00B9155A"/>
    <w:rsid w:val="00B91ED6"/>
    <w:rsid w:val="00B91EF4"/>
    <w:rsid w:val="00B94444"/>
    <w:rsid w:val="00B97B1F"/>
    <w:rsid w:val="00BA15BA"/>
    <w:rsid w:val="00BA5E4F"/>
    <w:rsid w:val="00BA6F5B"/>
    <w:rsid w:val="00BC2D42"/>
    <w:rsid w:val="00BC7A99"/>
    <w:rsid w:val="00BD20D0"/>
    <w:rsid w:val="00BD5262"/>
    <w:rsid w:val="00BD744C"/>
    <w:rsid w:val="00BE1737"/>
    <w:rsid w:val="00BE5769"/>
    <w:rsid w:val="00BF0212"/>
    <w:rsid w:val="00BF25CC"/>
    <w:rsid w:val="00BF3C2F"/>
    <w:rsid w:val="00BF3EC1"/>
    <w:rsid w:val="00BF4930"/>
    <w:rsid w:val="00BF64FD"/>
    <w:rsid w:val="00C02447"/>
    <w:rsid w:val="00C02F78"/>
    <w:rsid w:val="00C03E2D"/>
    <w:rsid w:val="00C0634E"/>
    <w:rsid w:val="00C0676E"/>
    <w:rsid w:val="00C1058A"/>
    <w:rsid w:val="00C12F39"/>
    <w:rsid w:val="00C175A2"/>
    <w:rsid w:val="00C17AC4"/>
    <w:rsid w:val="00C21BFB"/>
    <w:rsid w:val="00C243DF"/>
    <w:rsid w:val="00C322C0"/>
    <w:rsid w:val="00C323D2"/>
    <w:rsid w:val="00C40879"/>
    <w:rsid w:val="00C41776"/>
    <w:rsid w:val="00C45F0B"/>
    <w:rsid w:val="00C46E04"/>
    <w:rsid w:val="00C5070D"/>
    <w:rsid w:val="00C50AA7"/>
    <w:rsid w:val="00C549E2"/>
    <w:rsid w:val="00C614B0"/>
    <w:rsid w:val="00C61E8D"/>
    <w:rsid w:val="00C6291F"/>
    <w:rsid w:val="00C636B8"/>
    <w:rsid w:val="00C77529"/>
    <w:rsid w:val="00C84669"/>
    <w:rsid w:val="00C87B23"/>
    <w:rsid w:val="00C90E6F"/>
    <w:rsid w:val="00C92682"/>
    <w:rsid w:val="00C92FF5"/>
    <w:rsid w:val="00C93F24"/>
    <w:rsid w:val="00CA045D"/>
    <w:rsid w:val="00CA28D5"/>
    <w:rsid w:val="00CA4D0B"/>
    <w:rsid w:val="00CA5EF0"/>
    <w:rsid w:val="00CB51AB"/>
    <w:rsid w:val="00CB6CDF"/>
    <w:rsid w:val="00CD0471"/>
    <w:rsid w:val="00CD0820"/>
    <w:rsid w:val="00CD27E0"/>
    <w:rsid w:val="00CD3729"/>
    <w:rsid w:val="00CD7E12"/>
    <w:rsid w:val="00CE22FB"/>
    <w:rsid w:val="00CE32D7"/>
    <w:rsid w:val="00CE55FB"/>
    <w:rsid w:val="00CE7214"/>
    <w:rsid w:val="00CF323A"/>
    <w:rsid w:val="00CF46B9"/>
    <w:rsid w:val="00D00F05"/>
    <w:rsid w:val="00D01FBF"/>
    <w:rsid w:val="00D03664"/>
    <w:rsid w:val="00D04C7A"/>
    <w:rsid w:val="00D05EF5"/>
    <w:rsid w:val="00D06AB5"/>
    <w:rsid w:val="00D0710A"/>
    <w:rsid w:val="00D10D99"/>
    <w:rsid w:val="00D1313C"/>
    <w:rsid w:val="00D1687E"/>
    <w:rsid w:val="00D20DC2"/>
    <w:rsid w:val="00D21F5D"/>
    <w:rsid w:val="00D250A7"/>
    <w:rsid w:val="00D302B3"/>
    <w:rsid w:val="00D30800"/>
    <w:rsid w:val="00D35A1F"/>
    <w:rsid w:val="00D36088"/>
    <w:rsid w:val="00D3681F"/>
    <w:rsid w:val="00D3753C"/>
    <w:rsid w:val="00D41F32"/>
    <w:rsid w:val="00D4266B"/>
    <w:rsid w:val="00D45C8D"/>
    <w:rsid w:val="00D54E80"/>
    <w:rsid w:val="00D56BBB"/>
    <w:rsid w:val="00D66F31"/>
    <w:rsid w:val="00D6714A"/>
    <w:rsid w:val="00D722DA"/>
    <w:rsid w:val="00D75DB6"/>
    <w:rsid w:val="00D875BC"/>
    <w:rsid w:val="00D905A6"/>
    <w:rsid w:val="00D942C2"/>
    <w:rsid w:val="00DA2BDC"/>
    <w:rsid w:val="00DA5266"/>
    <w:rsid w:val="00DB0B0D"/>
    <w:rsid w:val="00DB2A04"/>
    <w:rsid w:val="00DB2C21"/>
    <w:rsid w:val="00DB3068"/>
    <w:rsid w:val="00DB356E"/>
    <w:rsid w:val="00DB424E"/>
    <w:rsid w:val="00DB4584"/>
    <w:rsid w:val="00DB5F2D"/>
    <w:rsid w:val="00DB6D48"/>
    <w:rsid w:val="00DC409A"/>
    <w:rsid w:val="00DC4680"/>
    <w:rsid w:val="00DC7EDC"/>
    <w:rsid w:val="00DD17D5"/>
    <w:rsid w:val="00DD79FB"/>
    <w:rsid w:val="00DE0B5C"/>
    <w:rsid w:val="00DE3FB8"/>
    <w:rsid w:val="00DE405F"/>
    <w:rsid w:val="00DE5112"/>
    <w:rsid w:val="00DE6590"/>
    <w:rsid w:val="00DE7AFD"/>
    <w:rsid w:val="00DF0746"/>
    <w:rsid w:val="00DF11D0"/>
    <w:rsid w:val="00DF699A"/>
    <w:rsid w:val="00DF73A4"/>
    <w:rsid w:val="00E061FA"/>
    <w:rsid w:val="00E0739C"/>
    <w:rsid w:val="00E116A4"/>
    <w:rsid w:val="00E12781"/>
    <w:rsid w:val="00E148C7"/>
    <w:rsid w:val="00E15392"/>
    <w:rsid w:val="00E15B94"/>
    <w:rsid w:val="00E16EF4"/>
    <w:rsid w:val="00E250C8"/>
    <w:rsid w:val="00E4060B"/>
    <w:rsid w:val="00E41B8C"/>
    <w:rsid w:val="00E42BDA"/>
    <w:rsid w:val="00E43380"/>
    <w:rsid w:val="00E44161"/>
    <w:rsid w:val="00E44902"/>
    <w:rsid w:val="00E45F66"/>
    <w:rsid w:val="00E47197"/>
    <w:rsid w:val="00E5354F"/>
    <w:rsid w:val="00E5372A"/>
    <w:rsid w:val="00E5700A"/>
    <w:rsid w:val="00E57CF3"/>
    <w:rsid w:val="00E62AB9"/>
    <w:rsid w:val="00E65EC5"/>
    <w:rsid w:val="00E70369"/>
    <w:rsid w:val="00E7051B"/>
    <w:rsid w:val="00E8017E"/>
    <w:rsid w:val="00E82CB2"/>
    <w:rsid w:val="00E857A7"/>
    <w:rsid w:val="00E90498"/>
    <w:rsid w:val="00E90515"/>
    <w:rsid w:val="00E91814"/>
    <w:rsid w:val="00E96886"/>
    <w:rsid w:val="00EA3695"/>
    <w:rsid w:val="00EA41DE"/>
    <w:rsid w:val="00EA7B65"/>
    <w:rsid w:val="00EB24E5"/>
    <w:rsid w:val="00EB3803"/>
    <w:rsid w:val="00EB7447"/>
    <w:rsid w:val="00EB77B5"/>
    <w:rsid w:val="00EC58F7"/>
    <w:rsid w:val="00EC5B17"/>
    <w:rsid w:val="00EC60BD"/>
    <w:rsid w:val="00ED0BAC"/>
    <w:rsid w:val="00ED203B"/>
    <w:rsid w:val="00ED260B"/>
    <w:rsid w:val="00ED268C"/>
    <w:rsid w:val="00ED2C9D"/>
    <w:rsid w:val="00ED799B"/>
    <w:rsid w:val="00EF07EA"/>
    <w:rsid w:val="00EF0BA4"/>
    <w:rsid w:val="00EF27E4"/>
    <w:rsid w:val="00F00CDF"/>
    <w:rsid w:val="00F011D2"/>
    <w:rsid w:val="00F03550"/>
    <w:rsid w:val="00F0388E"/>
    <w:rsid w:val="00F0767B"/>
    <w:rsid w:val="00F231CF"/>
    <w:rsid w:val="00F265E3"/>
    <w:rsid w:val="00F34EF2"/>
    <w:rsid w:val="00F372B7"/>
    <w:rsid w:val="00F44B5F"/>
    <w:rsid w:val="00F45414"/>
    <w:rsid w:val="00F52527"/>
    <w:rsid w:val="00F531CC"/>
    <w:rsid w:val="00F57810"/>
    <w:rsid w:val="00F616FC"/>
    <w:rsid w:val="00F64210"/>
    <w:rsid w:val="00F66C9E"/>
    <w:rsid w:val="00F70687"/>
    <w:rsid w:val="00F740A8"/>
    <w:rsid w:val="00F7587B"/>
    <w:rsid w:val="00F80D97"/>
    <w:rsid w:val="00F84F33"/>
    <w:rsid w:val="00F85DC7"/>
    <w:rsid w:val="00F921E9"/>
    <w:rsid w:val="00F9271F"/>
    <w:rsid w:val="00F92C9D"/>
    <w:rsid w:val="00F93AE1"/>
    <w:rsid w:val="00F93C7E"/>
    <w:rsid w:val="00F95BBF"/>
    <w:rsid w:val="00F96D1F"/>
    <w:rsid w:val="00F970C8"/>
    <w:rsid w:val="00F972DD"/>
    <w:rsid w:val="00FA29DA"/>
    <w:rsid w:val="00FA2A04"/>
    <w:rsid w:val="00FA3D40"/>
    <w:rsid w:val="00FA6B3C"/>
    <w:rsid w:val="00FB0094"/>
    <w:rsid w:val="00FB26BC"/>
    <w:rsid w:val="00FB339D"/>
    <w:rsid w:val="00FB4769"/>
    <w:rsid w:val="00FB4991"/>
    <w:rsid w:val="00FC0763"/>
    <w:rsid w:val="00FC223E"/>
    <w:rsid w:val="00FC3DC9"/>
    <w:rsid w:val="00FC6D0F"/>
    <w:rsid w:val="00FD0312"/>
    <w:rsid w:val="00FD09C2"/>
    <w:rsid w:val="00FD2965"/>
    <w:rsid w:val="00FD3D32"/>
    <w:rsid w:val="00FD4EDF"/>
    <w:rsid w:val="00FD709A"/>
    <w:rsid w:val="00FD7B99"/>
    <w:rsid w:val="00FD7CAF"/>
    <w:rsid w:val="00FE08A5"/>
    <w:rsid w:val="00FF1240"/>
    <w:rsid w:val="00FF34DA"/>
    <w:rsid w:val="00FF714C"/>
    <w:rsid w:val="01046745"/>
    <w:rsid w:val="181F32B4"/>
    <w:rsid w:val="1B1FF865"/>
    <w:rsid w:val="2ABD53FC"/>
    <w:rsid w:val="32E5B63E"/>
    <w:rsid w:val="41F36221"/>
    <w:rsid w:val="4826F4DC"/>
    <w:rsid w:val="490A9075"/>
    <w:rsid w:val="6E0F28E7"/>
    <w:rsid w:val="6F38385B"/>
    <w:rsid w:val="7917C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7C923"/>
  <w15:chartTrackingRefBased/>
  <w15:docId w15:val="{05F0F3B6-FFD7-47B4-801B-8B2F02AF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C40879"/>
    <w:rPr>
      <w:rFonts w:cs="Times New Roman"/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99"/>
    <w:qFormat/>
    <w:rsid w:val="00C40879"/>
    <w:pPr>
      <w:pBdr>
        <w:bottom w:val="single" w:sz="8" w:space="4" w:color="2DA2BF"/>
      </w:pBdr>
      <w:spacing w:after="300" w:line="240" w:lineRule="auto"/>
      <w:contextualSpacing/>
    </w:pPr>
    <w:rPr>
      <w:rFonts w:ascii="Lucida Sans Unicode" w:eastAsia="Times New Roman" w:hAnsi="Lucida Sans Unicode" w:cs="Times New Roman"/>
      <w:color w:val="343434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99"/>
    <w:rsid w:val="00C40879"/>
    <w:rPr>
      <w:rFonts w:ascii="Lucida Sans Unicode" w:eastAsia="Times New Roman" w:hAnsi="Lucida Sans Unicode" w:cs="Times New Roman"/>
      <w:color w:val="343434"/>
      <w:spacing w:val="5"/>
      <w:kern w:val="28"/>
      <w:sz w:val="52"/>
      <w:szCs w:val="52"/>
      <w:lang w:eastAsia="de-DE"/>
    </w:rPr>
  </w:style>
  <w:style w:type="paragraph" w:styleId="Kopfzeile">
    <w:name w:val="header"/>
    <w:basedOn w:val="Standard"/>
    <w:link w:val="KopfzeileZchn"/>
    <w:uiPriority w:val="99"/>
    <w:rsid w:val="00C408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C40879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rsid w:val="00C408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40879"/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16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216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216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16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163F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349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27F1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861BE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5628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linicaltrials.gov/study/NCT0462849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200/jco.2021.39.15_suppl.tps756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gho.de/arbeitskreise/a-g/drg-gesundheitsoekono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9ae99a-0496-4898-989f-e27614239e6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E8A8321EAC77429F0AE51B49A58B02" ma:contentTypeVersion="6" ma:contentTypeDescription="Ein neues Dokument erstellen." ma:contentTypeScope="" ma:versionID="46f9b8c1029ff3a5e38518161dbea491">
  <xsd:schema xmlns:xsd="http://www.w3.org/2001/XMLSchema" xmlns:xs="http://www.w3.org/2001/XMLSchema" xmlns:p="http://schemas.microsoft.com/office/2006/metadata/properties" xmlns:ns2="2d076682-27a3-4304-b527-b918986f088e" xmlns:ns3="fe9ae99a-0496-4898-989f-e27614239e60" targetNamespace="http://schemas.microsoft.com/office/2006/metadata/properties" ma:root="true" ma:fieldsID="79d3c8853db0a645c1ed4d6c1c8322ba" ns2:_="" ns3:_="">
    <xsd:import namespace="2d076682-27a3-4304-b527-b918986f088e"/>
    <xsd:import namespace="fe9ae99a-0496-4898-989f-e27614239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6682-27a3-4304-b527-b918986f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e99a-0496-4898-989f-e27614239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AE10E-EF1F-4D1C-AB8D-95793E7ACBD9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e9ae99a-0496-4898-989f-e27614239e60"/>
    <ds:schemaRef ds:uri="http://www.w3.org/XML/1998/namespace"/>
    <ds:schemaRef ds:uri="http://schemas.microsoft.com/office/infopath/2007/PartnerControls"/>
    <ds:schemaRef ds:uri="2d076682-27a3-4304-b527-b918986f088e"/>
  </ds:schemaRefs>
</ds:datastoreItem>
</file>

<file path=customXml/itemProps2.xml><?xml version="1.0" encoding="utf-8"?>
<ds:datastoreItem xmlns:ds="http://schemas.openxmlformats.org/officeDocument/2006/customXml" ds:itemID="{0A89ABFB-4A9A-4D8E-8F63-B2E235F86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76682-27a3-4304-b527-b918986f088e"/>
    <ds:schemaRef ds:uri="fe9ae99a-0496-4898-989f-e27614239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FF855-8C2A-4B95-8E8A-A0B0107EE8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2048</Words>
  <Characters>12908</Characters>
  <Application>Microsoft Office Word</Application>
  <DocSecurity>0</DocSecurity>
  <Lines>107</Lines>
  <Paragraphs>29</Paragraphs>
  <ScaleCrop>false</ScaleCrop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Eiswert</dc:creator>
  <cp:keywords/>
  <dc:description/>
  <cp:lastModifiedBy>Leonie Schumacher</cp:lastModifiedBy>
  <cp:revision>42</cp:revision>
  <cp:lastPrinted>2025-09-12T12:40:00Z</cp:lastPrinted>
  <dcterms:created xsi:type="dcterms:W3CDTF">2025-09-12T12:39:00Z</dcterms:created>
  <dcterms:modified xsi:type="dcterms:W3CDTF">2025-09-22T14:30:00Z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0x01010054E8A8321EAC77429F0AE51B49A58B02</vt:lpwstr>
  </property>
  <property fmtid="{D5CDD505-2E9C-101B-9397-08002B2CF9AE}" pid="3" name="MediaServiceImageTags">
    <vt:lpwstr/>
  </property>
  <property fmtid="{D5CDD505-2E9C-101B-9397-08002B2CF9AE}" pid="4" name="Order">
    <vt:r8>63200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