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02EEBDFD" w:rsidR="008E6675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>
              <w:rPr>
                <w:rFonts w:ascii="Arial Narrow" w:hAnsi="Arial Narrow"/>
                <w:sz w:val="22"/>
              </w:rPr>
              <w:t xml:space="preserve">medizinische </w:t>
            </w:r>
            <w:r w:rsidRPr="005638EB">
              <w:rPr>
                <w:rFonts w:ascii="Arial Narrow" w:hAnsi="Arial Narrow"/>
                <w:sz w:val="22"/>
              </w:rPr>
              <w:t xml:space="preserve">Onkologie e.V. </w:t>
            </w:r>
            <w:r w:rsidR="00E8791A" w:rsidRPr="00174C48">
              <w:rPr>
                <w:rFonts w:ascii="Arial Narrow" w:hAnsi="Arial Narrow"/>
                <w:sz w:val="22"/>
              </w:rPr>
              <w:t>sowie die deutsche Gesellschaft für Infektiologie e. V. vorformuliert.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8E6675" w:rsidRPr="007F255B" w14:paraId="3534B4A0" w14:textId="77777777">
        <w:tc>
          <w:tcPr>
            <w:tcW w:w="9212" w:type="dxa"/>
          </w:tcPr>
          <w:p w14:paraId="2C182448" w14:textId="3B5F345F" w:rsidR="008E6675" w:rsidRPr="007F255B" w:rsidRDefault="00673F6C" w:rsidP="005638EB">
            <w:pPr>
              <w:rPr>
                <w:rFonts w:ascii="Arial Narrow" w:hAnsi="Arial Narrow"/>
                <w:color w:val="00B050"/>
                <w:sz w:val="22"/>
              </w:rPr>
            </w:pPr>
            <w:r w:rsidRPr="00673F6C">
              <w:rPr>
                <w:rFonts w:ascii="Arial Narrow" w:hAnsi="Arial Narrow"/>
                <w:sz w:val="22"/>
              </w:rPr>
              <w:t>Fidaxomicin</w:t>
            </w:r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07331AB7" w:rsidR="008E6675" w:rsidRPr="005638EB" w:rsidRDefault="00673F6C" w:rsidP="005638EB">
            <w:pPr>
              <w:rPr>
                <w:rFonts w:ascii="Arial Narrow" w:hAnsi="Arial Narrow"/>
              </w:rPr>
            </w:pPr>
            <w:r w:rsidRPr="00673F6C">
              <w:rPr>
                <w:rFonts w:ascii="Arial Narrow" w:hAnsi="Arial Narrow"/>
                <w:sz w:val="22"/>
              </w:rPr>
              <w:t>Dificlir®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10E3B2C1" w:rsidR="004C4F82" w:rsidRPr="00A30366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30366" w:rsidRPr="005638EB" w14:paraId="2215E388" w14:textId="77777777" w:rsidTr="001B43C1">
        <w:tc>
          <w:tcPr>
            <w:tcW w:w="9212" w:type="dxa"/>
          </w:tcPr>
          <w:p w14:paraId="4EC62212" w14:textId="77777777" w:rsidR="00A30366" w:rsidRPr="005638EB" w:rsidRDefault="00A30366" w:rsidP="001B43C1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angefragte Untersuchungs- und Behandlungsmethode von Ihrem Krankenhaus bereits vor dem 01.01.2024 eine Anfrage gemäß §6 Abs. 2 KHEntG an das InEK übermittelt?</w:t>
            </w:r>
          </w:p>
        </w:tc>
      </w:tr>
      <w:tr w:rsidR="00A30366" w:rsidRPr="005638EB" w14:paraId="0D359BCB" w14:textId="77777777" w:rsidTr="001B43C1">
        <w:tc>
          <w:tcPr>
            <w:tcW w:w="9212" w:type="dxa"/>
          </w:tcPr>
          <w:p w14:paraId="2D075431" w14:textId="4D21F5D5" w:rsidR="00A30366" w:rsidRPr="00F22976" w:rsidRDefault="00A30366" w:rsidP="001B43C1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 Bei ja Nummer aus Liste auswählen]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48656D" w14:paraId="5696BA9D" w14:textId="77777777">
        <w:tc>
          <w:tcPr>
            <w:tcW w:w="9212" w:type="dxa"/>
          </w:tcPr>
          <w:p w14:paraId="34D58F3B" w14:textId="4D627150" w:rsidR="00F234F6" w:rsidRPr="00F234F6" w:rsidRDefault="00F234F6" w:rsidP="00F234F6">
            <w:pPr>
              <w:rPr>
                <w:rFonts w:ascii="Arial Narrow" w:hAnsi="Arial Narrow"/>
                <w:sz w:val="22"/>
                <w:u w:val="single"/>
              </w:rPr>
            </w:pPr>
            <w:r w:rsidRPr="00F234F6">
              <w:rPr>
                <w:rFonts w:ascii="Arial Narrow" w:hAnsi="Arial Narrow"/>
                <w:sz w:val="22"/>
                <w:u w:val="single"/>
              </w:rPr>
              <w:t>Wirkweise</w:t>
            </w:r>
          </w:p>
          <w:p w14:paraId="081183DD" w14:textId="77B4A498" w:rsidR="00F234F6" w:rsidRPr="00F234F6" w:rsidRDefault="00F234F6" w:rsidP="00F234F6">
            <w:pPr>
              <w:rPr>
                <w:rFonts w:ascii="Arial Narrow" w:hAnsi="Arial Narrow"/>
                <w:sz w:val="22"/>
              </w:rPr>
            </w:pPr>
            <w:r w:rsidRPr="00F234F6">
              <w:rPr>
                <w:rFonts w:ascii="Arial Narrow" w:hAnsi="Arial Narrow"/>
                <w:sz w:val="22"/>
              </w:rPr>
              <w:t>Fidaxomicin (Dificlir®) ist ein Antibiotikum der Substanzklasse der Makrozykline,</w:t>
            </w:r>
            <w:r w:rsidR="004F3F20">
              <w:rPr>
                <w:rFonts w:ascii="Arial Narrow" w:hAnsi="Arial Narrow"/>
                <w:sz w:val="22"/>
              </w:rPr>
              <w:t xml:space="preserve"> </w:t>
            </w:r>
            <w:r w:rsidRPr="00F234F6">
              <w:rPr>
                <w:rFonts w:ascii="Arial Narrow" w:hAnsi="Arial Narrow"/>
                <w:sz w:val="22"/>
              </w:rPr>
              <w:t>welches spezifisch gegen C. diff. wirkt, indem es die RNA-Polymerase dieser</w:t>
            </w:r>
            <w:r w:rsidR="000405D3">
              <w:rPr>
                <w:rFonts w:ascii="Arial Narrow" w:hAnsi="Arial Narrow"/>
                <w:sz w:val="22"/>
              </w:rPr>
              <w:t xml:space="preserve"> </w:t>
            </w:r>
            <w:r w:rsidRPr="00F234F6">
              <w:rPr>
                <w:rFonts w:ascii="Arial Narrow" w:hAnsi="Arial Narrow"/>
                <w:sz w:val="22"/>
              </w:rPr>
              <w:t>Bakterien inhibiert und so zum Zelltod führt. Fidaxomicin wirkt dabei nicht</w:t>
            </w:r>
            <w:r w:rsidR="000405D3">
              <w:rPr>
                <w:rFonts w:ascii="Arial Narrow" w:hAnsi="Arial Narrow"/>
                <w:sz w:val="22"/>
              </w:rPr>
              <w:t xml:space="preserve"> </w:t>
            </w:r>
            <w:r w:rsidRPr="00F234F6">
              <w:rPr>
                <w:rFonts w:ascii="Arial Narrow" w:hAnsi="Arial Narrow"/>
                <w:sz w:val="22"/>
              </w:rPr>
              <w:t>bakteriostatisch, sondern bakterizid und bevorzugt gegen C. diff. Bakterien</w:t>
            </w:r>
            <w:r w:rsidR="00EC75B0">
              <w:rPr>
                <w:rFonts w:ascii="Arial Narrow" w:hAnsi="Arial Narrow"/>
                <w:sz w:val="22"/>
              </w:rPr>
              <w:t>.</w:t>
            </w:r>
          </w:p>
          <w:p w14:paraId="2AED8774" w14:textId="297B3093" w:rsidR="000405D3" w:rsidRDefault="000405D3" w:rsidP="000405D3">
            <w:pPr>
              <w:rPr>
                <w:rFonts w:ascii="Arial Narrow" w:hAnsi="Arial Narrow"/>
                <w:sz w:val="22"/>
              </w:rPr>
            </w:pPr>
            <w:r w:rsidRPr="000405D3">
              <w:rPr>
                <w:rFonts w:ascii="Arial Narrow" w:hAnsi="Arial Narrow"/>
                <w:sz w:val="22"/>
              </w:rPr>
              <w:t>Clostridioides difficile (C.diff.) ist einer der häufigsten Erreger von nosokomialen</w:t>
            </w:r>
            <w:r w:rsidR="00E3365F">
              <w:rPr>
                <w:rFonts w:ascii="Arial Narrow" w:hAnsi="Arial Narrow"/>
                <w:sz w:val="22"/>
              </w:rPr>
              <w:t xml:space="preserve"> </w:t>
            </w:r>
            <w:r w:rsidRPr="000405D3">
              <w:rPr>
                <w:rFonts w:ascii="Arial Narrow" w:hAnsi="Arial Narrow"/>
                <w:sz w:val="22"/>
              </w:rPr>
              <w:t>Infektionen in Deutschland. Die Inzidenz der CDI, insbesondere auch der schweren</w:t>
            </w:r>
            <w:r w:rsidR="00E3365F">
              <w:rPr>
                <w:rFonts w:ascii="Arial Narrow" w:hAnsi="Arial Narrow"/>
                <w:sz w:val="22"/>
              </w:rPr>
              <w:t xml:space="preserve"> </w:t>
            </w:r>
            <w:r w:rsidRPr="000405D3">
              <w:rPr>
                <w:rFonts w:ascii="Arial Narrow" w:hAnsi="Arial Narrow"/>
                <w:sz w:val="22"/>
              </w:rPr>
              <w:t>oder gar lebensbedrohlichen Verläufe, steigt seit Jahren an</w:t>
            </w:r>
            <w:r w:rsidR="00E3365F">
              <w:rPr>
                <w:rFonts w:ascii="Arial Narrow" w:hAnsi="Arial Narrow"/>
                <w:sz w:val="22"/>
              </w:rPr>
              <w:t>.</w:t>
            </w:r>
          </w:p>
          <w:p w14:paraId="75344D04" w14:textId="77777777" w:rsidR="00E3365F" w:rsidRDefault="00E3365F" w:rsidP="000405D3">
            <w:pPr>
              <w:rPr>
                <w:rFonts w:ascii="Arial Narrow" w:hAnsi="Arial Narrow"/>
                <w:sz w:val="22"/>
              </w:rPr>
            </w:pPr>
          </w:p>
          <w:p w14:paraId="11A8A45B" w14:textId="13EAF110" w:rsidR="00E3365F" w:rsidRPr="00E3365F" w:rsidRDefault="00E3365F" w:rsidP="000405D3">
            <w:pPr>
              <w:rPr>
                <w:rFonts w:ascii="Arial Narrow" w:hAnsi="Arial Narrow"/>
                <w:sz w:val="22"/>
                <w:u w:val="single"/>
              </w:rPr>
            </w:pPr>
            <w:r w:rsidRPr="00E3365F">
              <w:rPr>
                <w:rFonts w:ascii="Arial Narrow" w:hAnsi="Arial Narrow"/>
                <w:sz w:val="22"/>
                <w:u w:val="single"/>
              </w:rPr>
              <w:t>Evidenzlage</w:t>
            </w:r>
          </w:p>
          <w:p w14:paraId="1BD74961" w14:textId="400B887E" w:rsidR="00EC75B0" w:rsidRPr="00EC75B0" w:rsidRDefault="00EC75B0" w:rsidP="00EC75B0">
            <w:pPr>
              <w:rPr>
                <w:rFonts w:ascii="Arial Narrow" w:hAnsi="Arial Narrow"/>
                <w:sz w:val="22"/>
              </w:rPr>
            </w:pPr>
            <w:r w:rsidRPr="00EC75B0">
              <w:rPr>
                <w:rFonts w:ascii="Arial Narrow" w:hAnsi="Arial Narrow"/>
                <w:sz w:val="22"/>
              </w:rPr>
              <w:t>Fidaxomicin ist bei Patienten mit leichter bis mäßig schwerer CDI mindestens ebenso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 xml:space="preserve">wirksam wie Vancomycin in Bezug auf die Heilung der initialen CDI Episode </w:t>
            </w:r>
            <w:r w:rsidRPr="00722B61">
              <w:rPr>
                <w:rFonts w:ascii="Arial Narrow" w:hAnsi="Arial Narrow"/>
                <w:sz w:val="22"/>
              </w:rPr>
              <w:t>[</w:t>
            </w:r>
            <w:r w:rsidR="00590E29" w:rsidRPr="00722B61">
              <w:rPr>
                <w:rFonts w:ascii="Arial Narrow" w:hAnsi="Arial Narrow"/>
                <w:sz w:val="22"/>
              </w:rPr>
              <w:t>1</w:t>
            </w:r>
            <w:r w:rsidRPr="00722B61">
              <w:rPr>
                <w:rFonts w:ascii="Arial Narrow" w:hAnsi="Arial Narrow"/>
                <w:sz w:val="22"/>
              </w:rPr>
              <w:t xml:space="preserve">, </w:t>
            </w:r>
            <w:r w:rsidR="00590E29" w:rsidRPr="00722B61">
              <w:rPr>
                <w:rFonts w:ascii="Arial Narrow" w:hAnsi="Arial Narrow"/>
                <w:sz w:val="22"/>
              </w:rPr>
              <w:t>2</w:t>
            </w:r>
            <w:r w:rsidRPr="00722B61">
              <w:rPr>
                <w:rFonts w:ascii="Arial Narrow" w:hAnsi="Arial Narrow"/>
                <w:sz w:val="22"/>
              </w:rPr>
              <w:t>,</w:t>
            </w:r>
            <w:r w:rsidR="00590E29" w:rsidRPr="00722B61">
              <w:rPr>
                <w:rFonts w:ascii="Arial Narrow" w:hAnsi="Arial Narrow"/>
                <w:sz w:val="22"/>
              </w:rPr>
              <w:t xml:space="preserve"> 3</w:t>
            </w:r>
            <w:r w:rsidRPr="00722B61">
              <w:rPr>
                <w:rFonts w:ascii="Arial Narrow" w:hAnsi="Arial Narrow"/>
                <w:sz w:val="22"/>
              </w:rPr>
              <w:t>].</w:t>
            </w:r>
            <w:r w:rsidRPr="00EC75B0">
              <w:rPr>
                <w:rFonts w:ascii="Arial Narrow" w:hAnsi="Arial Narrow"/>
                <w:sz w:val="22"/>
              </w:rPr>
              <w:t xml:space="preserve"> Allerdings wurde bei Patienten, die mit Fidaxomicin behandelt wurden, eine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signifikant niedrigere Rate an Rekurrenzen innerhalb von 4 Wochen nach</w:t>
            </w:r>
          </w:p>
          <w:p w14:paraId="6C5C962A" w14:textId="39D08CAA" w:rsidR="00EC75B0" w:rsidRPr="00EC75B0" w:rsidRDefault="00EC75B0" w:rsidP="00EC75B0">
            <w:pPr>
              <w:rPr>
                <w:rFonts w:ascii="Arial Narrow" w:hAnsi="Arial Narrow"/>
                <w:sz w:val="22"/>
              </w:rPr>
            </w:pPr>
            <w:r w:rsidRPr="00EC75B0">
              <w:rPr>
                <w:rFonts w:ascii="Arial Narrow" w:hAnsi="Arial Narrow"/>
                <w:sz w:val="22"/>
              </w:rPr>
              <w:t>Therapieende im Vergleich zu Vancomycin-behandelten Patienten festgestellt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(12,7% vs. 26,9%; p=0.005) [</w:t>
            </w:r>
            <w:r w:rsidR="00590E29">
              <w:rPr>
                <w:rFonts w:ascii="Arial Narrow" w:hAnsi="Arial Narrow"/>
                <w:sz w:val="22"/>
              </w:rPr>
              <w:t>2</w:t>
            </w:r>
            <w:r w:rsidRPr="00EC75B0">
              <w:rPr>
                <w:rFonts w:ascii="Arial Narrow" w:hAnsi="Arial Narrow"/>
                <w:sz w:val="22"/>
              </w:rPr>
              <w:t>]. In einer Studie, die die verlängerte gepulste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Dosierung von Fidaxomicin untersucht hat, zeigte Fidaxomicin außerdem eine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signifikant bessere Heilungsrate und geringere Rückfallrate bei Patienten mit einer</w:t>
            </w:r>
          </w:p>
          <w:p w14:paraId="1FF112BF" w14:textId="6CA11E17" w:rsidR="00EC75B0" w:rsidRDefault="00EC75B0" w:rsidP="00EC75B0">
            <w:pPr>
              <w:rPr>
                <w:rFonts w:ascii="Arial Narrow" w:hAnsi="Arial Narrow"/>
                <w:sz w:val="22"/>
              </w:rPr>
            </w:pPr>
            <w:r w:rsidRPr="00EC75B0">
              <w:rPr>
                <w:rFonts w:ascii="Arial Narrow" w:hAnsi="Arial Narrow"/>
                <w:sz w:val="22"/>
              </w:rPr>
              <w:t>CDI mit dem hoch-virulenten Ribotyp 027 [</w:t>
            </w:r>
            <w:r w:rsidR="00B33D2C">
              <w:rPr>
                <w:rFonts w:ascii="Arial Narrow" w:hAnsi="Arial Narrow"/>
                <w:sz w:val="22"/>
              </w:rPr>
              <w:t>4</w:t>
            </w:r>
            <w:r w:rsidRPr="00EC75B0">
              <w:rPr>
                <w:rFonts w:ascii="Arial Narrow" w:hAnsi="Arial Narrow"/>
                <w:sz w:val="22"/>
              </w:rPr>
              <w:t>].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1863B6A8" w14:textId="77777777" w:rsidR="00EC75B0" w:rsidRDefault="00EC75B0" w:rsidP="00EC75B0">
            <w:pPr>
              <w:rPr>
                <w:rFonts w:ascii="Arial Narrow" w:hAnsi="Arial Narrow"/>
                <w:sz w:val="22"/>
              </w:rPr>
            </w:pPr>
          </w:p>
          <w:p w14:paraId="24206EBE" w14:textId="7E68DFEE" w:rsidR="00EC75B0" w:rsidRPr="00EC75B0" w:rsidRDefault="00EC75B0" w:rsidP="00EC75B0">
            <w:pPr>
              <w:rPr>
                <w:rFonts w:ascii="Arial Narrow" w:hAnsi="Arial Narrow"/>
                <w:sz w:val="22"/>
              </w:rPr>
            </w:pPr>
            <w:r w:rsidRPr="00EC75B0">
              <w:rPr>
                <w:rFonts w:ascii="Arial Narrow" w:hAnsi="Arial Narrow"/>
                <w:sz w:val="22"/>
              </w:rPr>
              <w:t>Zusatznutzen laut AMNOG/G-BA Ausschuss:</w:t>
            </w:r>
          </w:p>
          <w:p w14:paraId="705DEAF4" w14:textId="315E0056" w:rsidR="00B97095" w:rsidRDefault="00EC75B0" w:rsidP="00EC75B0">
            <w:pPr>
              <w:rPr>
                <w:rFonts w:ascii="Arial Narrow" w:hAnsi="Arial Narrow"/>
                <w:sz w:val="22"/>
              </w:rPr>
            </w:pPr>
            <w:r w:rsidRPr="00EC75B0">
              <w:rPr>
                <w:rFonts w:ascii="Arial Narrow" w:hAnsi="Arial Narrow"/>
                <w:sz w:val="22"/>
              </w:rPr>
              <w:t>Im Rahmen des AMNOG-Verfahrens nach § 35a SGB V wurde für Fidaxomicin ein</w:t>
            </w:r>
            <w:r w:rsidR="00722B61"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beträchtlicher Zusatznutzen für schwere Fälle bzw. rekurrente Fälle (im Vergleich zu</w:t>
            </w:r>
            <w:r w:rsidR="001E3219"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oralem Vancomycin) festgestellt [</w:t>
            </w:r>
            <w:r w:rsidR="00B33D2C">
              <w:rPr>
                <w:rFonts w:ascii="Arial Narrow" w:hAnsi="Arial Narrow"/>
                <w:sz w:val="22"/>
              </w:rPr>
              <w:t>5</w:t>
            </w:r>
            <w:r w:rsidRPr="00EC75B0">
              <w:rPr>
                <w:rFonts w:ascii="Arial Narrow" w:hAnsi="Arial Narrow"/>
                <w:sz w:val="22"/>
              </w:rPr>
              <w:t>].</w:t>
            </w:r>
            <w:r w:rsidRPr="00EC75B0">
              <w:rPr>
                <w:rFonts w:ascii="Arial Narrow" w:hAnsi="Arial Narrow"/>
                <w:sz w:val="22"/>
              </w:rPr>
              <w:cr/>
            </w:r>
          </w:p>
          <w:p w14:paraId="7F63E233" w14:textId="60200F96" w:rsidR="000405D3" w:rsidRPr="00B97095" w:rsidRDefault="000405D3" w:rsidP="000405D3">
            <w:pPr>
              <w:rPr>
                <w:rFonts w:ascii="Arial Narrow" w:hAnsi="Arial Narrow"/>
                <w:sz w:val="22"/>
                <w:u w:val="single"/>
              </w:rPr>
            </w:pPr>
            <w:r w:rsidRPr="00B97095">
              <w:rPr>
                <w:rFonts w:ascii="Arial Narrow" w:hAnsi="Arial Narrow"/>
                <w:sz w:val="22"/>
                <w:u w:val="single"/>
              </w:rPr>
              <w:t xml:space="preserve">Anwendung und Dosierung </w:t>
            </w:r>
          </w:p>
          <w:p w14:paraId="01E4D4D1" w14:textId="76FF8A16" w:rsidR="000405D3" w:rsidRPr="000405D3" w:rsidRDefault="00DD7FDB" w:rsidP="000405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Die empfohlene Dosis für </w:t>
            </w:r>
            <w:r w:rsidR="000405D3" w:rsidRPr="000405D3">
              <w:rPr>
                <w:rFonts w:ascii="Arial Narrow" w:hAnsi="Arial Narrow"/>
                <w:sz w:val="22"/>
              </w:rPr>
              <w:t xml:space="preserve">Fidaxomicin </w:t>
            </w:r>
            <w:r>
              <w:rPr>
                <w:rFonts w:ascii="Arial Narrow" w:hAnsi="Arial Narrow"/>
                <w:sz w:val="22"/>
              </w:rPr>
              <w:t>beträgt</w:t>
            </w:r>
            <w:r w:rsidR="000405D3" w:rsidRPr="000405D3">
              <w:rPr>
                <w:rFonts w:ascii="Arial Narrow" w:hAnsi="Arial Narrow"/>
                <w:sz w:val="22"/>
              </w:rPr>
              <w:t xml:space="preserve"> 2x täglich </w:t>
            </w:r>
            <w:r>
              <w:rPr>
                <w:rFonts w:ascii="Arial Narrow" w:hAnsi="Arial Narrow"/>
                <w:sz w:val="22"/>
              </w:rPr>
              <w:t xml:space="preserve">200 mg </w:t>
            </w:r>
            <w:r w:rsidR="000405D3" w:rsidRPr="000405D3">
              <w:rPr>
                <w:rFonts w:ascii="Arial Narrow" w:hAnsi="Arial Narrow"/>
                <w:sz w:val="22"/>
              </w:rPr>
              <w:t>(</w:t>
            </w:r>
            <w:r>
              <w:rPr>
                <w:rFonts w:ascii="Arial Narrow" w:hAnsi="Arial Narrow"/>
                <w:sz w:val="22"/>
              </w:rPr>
              <w:t xml:space="preserve">eine Tablette </w:t>
            </w:r>
            <w:r w:rsidR="000405D3" w:rsidRPr="000405D3">
              <w:rPr>
                <w:rFonts w:ascii="Arial Narrow" w:hAnsi="Arial Narrow"/>
                <w:sz w:val="22"/>
              </w:rPr>
              <w:t>alle 12 Stunden), unabhängig von den Mahlzeiten, über</w:t>
            </w:r>
            <w:r w:rsidR="00B97095">
              <w:rPr>
                <w:rFonts w:ascii="Arial Narrow" w:hAnsi="Arial Narrow"/>
                <w:sz w:val="22"/>
              </w:rPr>
              <w:t xml:space="preserve"> </w:t>
            </w:r>
            <w:r w:rsidR="000405D3" w:rsidRPr="000405D3">
              <w:rPr>
                <w:rFonts w:ascii="Arial Narrow" w:hAnsi="Arial Narrow"/>
                <w:sz w:val="22"/>
              </w:rPr>
              <w:t>10 Tage verabreicht. Eine Dosisanpassung ist bei älteren Patienten sowie bei</w:t>
            </w:r>
            <w:r w:rsidR="00B97095">
              <w:rPr>
                <w:rFonts w:ascii="Arial Narrow" w:hAnsi="Arial Narrow"/>
                <w:sz w:val="22"/>
              </w:rPr>
              <w:t xml:space="preserve"> </w:t>
            </w:r>
            <w:r w:rsidR="000405D3" w:rsidRPr="000405D3">
              <w:rPr>
                <w:rFonts w:ascii="Arial Narrow" w:hAnsi="Arial Narrow"/>
                <w:sz w:val="22"/>
              </w:rPr>
              <w:t>Patienten mit eingeschränkter Nieren- oder Leberfunktion nicht erforderlich. Bei</w:t>
            </w:r>
            <w:r w:rsidR="00B97095">
              <w:rPr>
                <w:rFonts w:ascii="Arial Narrow" w:hAnsi="Arial Narrow"/>
                <w:sz w:val="22"/>
              </w:rPr>
              <w:t xml:space="preserve"> </w:t>
            </w:r>
            <w:r w:rsidR="000405D3" w:rsidRPr="000405D3">
              <w:rPr>
                <w:rFonts w:ascii="Arial Narrow" w:hAnsi="Arial Narrow"/>
                <w:sz w:val="22"/>
              </w:rPr>
              <w:t>Kindern bis zu einem Gewicht von 12,5 kg wird Fidaxomicin gewichtsabhängig dosiert.</w:t>
            </w:r>
          </w:p>
          <w:p w14:paraId="3B7F4773" w14:textId="48BC803E" w:rsidR="000405D3" w:rsidRPr="000405D3" w:rsidRDefault="000405D3" w:rsidP="000405D3">
            <w:pPr>
              <w:rPr>
                <w:rFonts w:ascii="Arial Narrow" w:hAnsi="Arial Narrow"/>
                <w:sz w:val="22"/>
              </w:rPr>
            </w:pPr>
            <w:r w:rsidRPr="000405D3">
              <w:rPr>
                <w:rFonts w:ascii="Arial Narrow" w:hAnsi="Arial Narrow"/>
                <w:sz w:val="22"/>
              </w:rPr>
              <w:t>Verlängerte gepulste Dosierung</w:t>
            </w:r>
          </w:p>
          <w:p w14:paraId="1B5A3D67" w14:textId="1E4695A1" w:rsidR="00F234F6" w:rsidRDefault="000405D3" w:rsidP="000405D3">
            <w:pPr>
              <w:rPr>
                <w:rFonts w:ascii="Arial Narrow" w:hAnsi="Arial Narrow"/>
                <w:sz w:val="22"/>
              </w:rPr>
            </w:pPr>
            <w:r w:rsidRPr="000405D3">
              <w:rPr>
                <w:rFonts w:ascii="Arial Narrow" w:hAnsi="Arial Narrow"/>
                <w:sz w:val="22"/>
              </w:rPr>
              <w:lastRenderedPageBreak/>
              <w:t>Zweimal täglich eine Fidaxomicin 200 mg Tablette an den Tagen 1-5 (keine Einnahme</w:t>
            </w:r>
            <w:r w:rsidR="00B97095">
              <w:rPr>
                <w:rFonts w:ascii="Arial Narrow" w:hAnsi="Arial Narrow"/>
                <w:sz w:val="22"/>
              </w:rPr>
              <w:t xml:space="preserve"> </w:t>
            </w:r>
            <w:r w:rsidRPr="000405D3">
              <w:rPr>
                <w:rFonts w:ascii="Arial Narrow" w:hAnsi="Arial Narrow"/>
                <w:sz w:val="22"/>
              </w:rPr>
              <w:t>einer Tablette an Tag 6), dann jeden zweiten Tag einmal täglich an den Tagen 7-25.</w:t>
            </w:r>
          </w:p>
          <w:p w14:paraId="52CF9B11" w14:textId="2FB12034" w:rsidR="0055338C" w:rsidRDefault="008C05AF" w:rsidP="000405D3">
            <w:pPr>
              <w:rPr>
                <w:rFonts w:ascii="Arial Narrow" w:hAnsi="Arial Narrow"/>
                <w:sz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lang w:val="en-US"/>
              </w:rPr>
              <w:t>-------</w:t>
            </w:r>
          </w:p>
          <w:p w14:paraId="4647C4D2" w14:textId="3B0658DB" w:rsidR="00590E29" w:rsidRPr="00D259A7" w:rsidRDefault="00590E29" w:rsidP="000405D3">
            <w:pPr>
              <w:rPr>
                <w:rFonts w:ascii="Arial Narrow" w:hAnsi="Arial Narrow"/>
                <w:sz w:val="22"/>
                <w:lang w:val="en-US"/>
              </w:rPr>
            </w:pPr>
            <w:r w:rsidRPr="00590E29">
              <w:rPr>
                <w:rFonts w:ascii="Arial Narrow" w:hAnsi="Arial Narrow"/>
                <w:sz w:val="22"/>
                <w:lang w:val="en-US"/>
              </w:rPr>
              <w:t>[</w:t>
            </w:r>
            <w:r>
              <w:rPr>
                <w:rFonts w:ascii="Arial Narrow" w:hAnsi="Arial Narrow"/>
                <w:sz w:val="22"/>
                <w:lang w:val="en-US"/>
              </w:rPr>
              <w:t>1</w:t>
            </w:r>
            <w:r w:rsidRPr="00590E29">
              <w:rPr>
                <w:rFonts w:ascii="Arial Narrow" w:hAnsi="Arial Narrow"/>
                <w:sz w:val="22"/>
                <w:lang w:val="en-US"/>
              </w:rPr>
              <w:t>] Louie TJ et al, New Engl J Med, 2011</w:t>
            </w:r>
          </w:p>
          <w:p w14:paraId="31F531C0" w14:textId="3DED3085" w:rsidR="00D259A7" w:rsidRPr="00D259A7" w:rsidRDefault="00D259A7" w:rsidP="00D259A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r w:rsidR="00590E29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] Cornely OA et al, Lancet Infect Dis, 2012</w:t>
            </w:r>
          </w:p>
          <w:p w14:paraId="26825D3B" w14:textId="7227255C" w:rsidR="00D259A7" w:rsidRPr="00D259A7" w:rsidRDefault="00D259A7" w:rsidP="00D259A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r w:rsidR="00590E29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] Guery B et al, Lancet Infect Dis, 2018</w:t>
            </w:r>
          </w:p>
          <w:p w14:paraId="723F6909" w14:textId="1CEAE077" w:rsidR="00D259A7" w:rsidRPr="00D259A7" w:rsidRDefault="00D259A7" w:rsidP="00D259A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r w:rsidR="00B33D2C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] Cornely OA et al, Eur J Clin Mircrobiol Infect Dis, 2019</w:t>
            </w:r>
          </w:p>
          <w:p w14:paraId="0AF79188" w14:textId="4F87602E" w:rsidR="00D259A7" w:rsidRPr="00B02DB1" w:rsidRDefault="00D259A7" w:rsidP="00D259A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r w:rsidR="00B33D2C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 xml:space="preserve">] </w:t>
            </w:r>
            <w:hyperlink r:id="rId10" w:anchor="beschluesseeinsehen" w:history="1">
              <w:r w:rsidRPr="00D259A7">
                <w:rPr>
                  <w:rStyle w:val="Hyperlink"/>
                  <w:rFonts w:ascii="Arial Narrow" w:hAnsi="Arial Narrow"/>
                  <w:sz w:val="22"/>
                  <w:szCs w:val="22"/>
                  <w:lang w:val="en-US"/>
                </w:rPr>
                <w:t>www.g-ba.de/bewertungsverfahren/nutzenbewertung/59/#beschluesseeinsehen</w:t>
              </w:r>
            </w:hyperlink>
          </w:p>
        </w:tc>
      </w:tr>
    </w:tbl>
    <w:p w14:paraId="6F81F951" w14:textId="77777777" w:rsidR="008E6675" w:rsidRPr="0055338C" w:rsidRDefault="008E6675" w:rsidP="005638EB">
      <w:pPr>
        <w:rPr>
          <w:rFonts w:ascii="Arial Narrow" w:hAnsi="Arial Narrow"/>
          <w:sz w:val="22"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276EB151" w14:textId="25DEF3F8" w:rsidR="00CC7E5F" w:rsidRPr="006354B6" w:rsidRDefault="00BE3979" w:rsidP="00435583">
            <w:pPr>
              <w:rPr>
                <w:rFonts w:ascii="Arial Narrow" w:hAnsi="Arial Narrow"/>
                <w:sz w:val="22"/>
              </w:rPr>
            </w:pPr>
            <w:bookmarkStart w:id="0" w:name="_Hlk83810295"/>
            <w:r w:rsidRPr="008C05AF">
              <w:rPr>
                <w:rFonts w:ascii="Arial Narrow" w:hAnsi="Arial Narrow"/>
                <w:sz w:val="22"/>
                <w:highlight w:val="yellow"/>
              </w:rPr>
              <w:t xml:space="preserve">Bitte </w:t>
            </w:r>
            <w:r w:rsidR="004C4F82" w:rsidRPr="008C05AF">
              <w:rPr>
                <w:rFonts w:ascii="Arial Narrow" w:hAnsi="Arial Narrow"/>
                <w:sz w:val="22"/>
                <w:highlight w:val="yellow"/>
              </w:rPr>
              <w:t>ankreuzen</w:t>
            </w:r>
            <w:r w:rsidR="0036325A" w:rsidRPr="008C05AF">
              <w:rPr>
                <w:rFonts w:ascii="Arial Narrow" w:hAnsi="Arial Narrow"/>
                <w:sz w:val="22"/>
                <w:highlight w:val="yellow"/>
              </w:rPr>
              <w:t xml:space="preserve">: </w:t>
            </w:r>
            <w:r w:rsidR="00DC6CBD" w:rsidRPr="008C05AF">
              <w:rPr>
                <w:rFonts w:ascii="Arial Narrow" w:hAnsi="Arial Narrow"/>
                <w:sz w:val="22"/>
                <w:highlight w:val="yellow"/>
              </w:rPr>
              <w:t>Derzeit sind keine Prozedurencodes (OPS) verfügbar</w:t>
            </w:r>
            <w:bookmarkEnd w:id="0"/>
            <w:r w:rsidRPr="008C05AF">
              <w:rPr>
                <w:rFonts w:ascii="Arial Narrow" w:hAnsi="Arial Narrow"/>
                <w:sz w:val="22"/>
                <w:highlight w:val="yellow"/>
              </w:rPr>
              <w:t>.</w:t>
            </w: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182EB8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544F5A" w:rsidRPr="005638EB" w14:paraId="42DFF580" w14:textId="77777777" w:rsidTr="00182EB8">
        <w:tc>
          <w:tcPr>
            <w:tcW w:w="9212" w:type="dxa"/>
          </w:tcPr>
          <w:p w14:paraId="110689C5" w14:textId="18075C58" w:rsidR="00544F5A" w:rsidRPr="005B6C28" w:rsidRDefault="005B6C28" w:rsidP="0036178C">
            <w:p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Es besteht Ergänzungsbedarf im OPS-Katalog, um das Medikament sachgerecht zu kodieren. </w:t>
            </w:r>
            <w:r w:rsidR="002143A3">
              <w:rPr>
                <w:rFonts w:ascii="Arial Narrow" w:hAnsi="Arial Narrow"/>
                <w:bCs/>
                <w:sz w:val="22"/>
              </w:rPr>
              <w:t>Kapitel 6 Appl</w:t>
            </w:r>
            <w:r w:rsidR="00642839">
              <w:rPr>
                <w:rFonts w:ascii="Arial Narrow" w:hAnsi="Arial Narrow"/>
                <w:bCs/>
                <w:sz w:val="22"/>
              </w:rPr>
              <w:t xml:space="preserve">ikation von Medikamenten des OPS-Katalog sollte um Fixamicin, oral erweitert werden. </w:t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370E9C16" w14:textId="06F7B5C3" w:rsidR="007B7C5A" w:rsidRPr="007B7C5A" w:rsidRDefault="007B7C5A" w:rsidP="007B7C5A">
            <w:pPr>
              <w:rPr>
                <w:rFonts w:ascii="Arial Narrow" w:hAnsi="Arial Narrow"/>
                <w:sz w:val="22"/>
                <w:szCs w:val="22"/>
              </w:rPr>
            </w:pPr>
            <w:r w:rsidRPr="007B7C5A">
              <w:rPr>
                <w:rFonts w:ascii="Arial Narrow" w:hAnsi="Arial Narrow"/>
                <w:sz w:val="22"/>
                <w:szCs w:val="22"/>
              </w:rPr>
              <w:t>Fidaxomicin (Dificlir®) wirkt spezifisch und singulär gegen Clostridioides difficile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Infektionen (CDI). Die Methode wird entsprechend ausschließlich bei Patienten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mit CDI angewandt. Fidaxomicin soll nach der zu erwartenden neuen Sk2-Leitlinie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der DGVS 2023 (im Druck) die Primärtherapie der CDI darstellen und insbesondere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auch bei Patienten mit erhöhtem Risikoprofil und erhöhtem Rezidivrisiko primär zur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Anwendung kommen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7B7C5A">
              <w:rPr>
                <w:rFonts w:ascii="Arial Narrow" w:hAnsi="Arial Narrow"/>
                <w:sz w:val="22"/>
                <w:szCs w:val="22"/>
              </w:rPr>
              <w:t>Hierbei ist mit einer massiven Zunahme der absoluten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Anzahl der Fidaxomicin-Therapie zu rechnen.</w:t>
            </w:r>
          </w:p>
          <w:p w14:paraId="606B75B1" w14:textId="128027FF" w:rsidR="008E6675" w:rsidRPr="007F255B" w:rsidRDefault="007B7C5A" w:rsidP="007B7C5A">
            <w:pPr>
              <w:rPr>
                <w:rFonts w:ascii="Arial Narrow" w:hAnsi="Arial Narrow"/>
                <w:sz w:val="22"/>
                <w:szCs w:val="22"/>
              </w:rPr>
            </w:pPr>
            <w:r w:rsidRPr="007B7C5A">
              <w:rPr>
                <w:rFonts w:ascii="Arial Narrow" w:hAnsi="Arial Narrow"/>
                <w:sz w:val="22"/>
                <w:szCs w:val="22"/>
              </w:rPr>
              <w:t>Die CDI wird im aG-DRG-System über die ICD-10-GM Schlüsselkategorie A04.7-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 xml:space="preserve">kodiert. 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3EC3722F" w14:textId="3D4689D3" w:rsidR="008E6675" w:rsidRPr="00C11458" w:rsidRDefault="00926BFC" w:rsidP="008C1686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Ablösung von </w:t>
            </w:r>
            <w:r w:rsidR="00370734" w:rsidRPr="00370734">
              <w:rPr>
                <w:rFonts w:ascii="Arial Narrow" w:hAnsi="Arial Narrow"/>
                <w:sz w:val="22"/>
                <w:szCs w:val="22"/>
              </w:rPr>
              <w:t>Metronidazol bzw. Vancomycin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D1A">
              <w:rPr>
                <w:rFonts w:ascii="Arial Narrow" w:hAnsi="Arial Narrow"/>
                <w:sz w:val="22"/>
                <w:szCs w:val="22"/>
              </w:rPr>
              <w:t xml:space="preserve">als neue Standardtherapie </w:t>
            </w:r>
            <w:r>
              <w:rPr>
                <w:rFonts w:ascii="Arial Narrow" w:hAnsi="Arial Narrow"/>
                <w:sz w:val="22"/>
                <w:szCs w:val="22"/>
              </w:rPr>
              <w:t xml:space="preserve">bei </w:t>
            </w:r>
            <w:r w:rsidRPr="00926BFC">
              <w:rPr>
                <w:rFonts w:ascii="Arial Narrow" w:hAnsi="Arial Narrow"/>
                <w:sz w:val="22"/>
                <w:szCs w:val="22"/>
              </w:rPr>
              <w:t>Primärtherapie einer anfänglichen sowie einer schweren CDI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20DA5552" w14:textId="3E98009E" w:rsidR="00870D1A" w:rsidRPr="00870D1A" w:rsidRDefault="00870D1A" w:rsidP="00870D1A">
            <w:pPr>
              <w:rPr>
                <w:rFonts w:ascii="Arial Narrow" w:hAnsi="Arial Narrow"/>
                <w:sz w:val="22"/>
              </w:rPr>
            </w:pPr>
            <w:r w:rsidRPr="00870D1A">
              <w:rPr>
                <w:rFonts w:ascii="Arial Narrow" w:hAnsi="Arial Narrow"/>
                <w:sz w:val="22"/>
              </w:rPr>
              <w:t>Bei der Therapie mit Fidaxomicin handelt es sich um einen innovativen, neuen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>Therapieansatz in der CDI. Fidaxomicin gehört zu einer neuen Substanzklasse von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>Antibiotika, der sogenannten Makrozykline. Die Methode kommt nach Einführung in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>2013</w:t>
            </w:r>
            <w:r w:rsidR="00B9394A">
              <w:rPr>
                <w:rFonts w:ascii="Arial Narrow" w:hAnsi="Arial Narrow"/>
                <w:sz w:val="22"/>
              </w:rPr>
              <w:t xml:space="preserve"> aufgrund</w:t>
            </w:r>
            <w:r w:rsidRPr="00870D1A">
              <w:rPr>
                <w:rFonts w:ascii="Arial Narrow" w:hAnsi="Arial Narrow"/>
                <w:sz w:val="22"/>
              </w:rPr>
              <w:t xml:space="preserve"> der zu erwartenden aktuellen neuen Leitlinienlage in einer breiteren</w:t>
            </w:r>
          </w:p>
          <w:p w14:paraId="1A788DBB" w14:textId="00C10721" w:rsidR="00870D1A" w:rsidRPr="00870D1A" w:rsidRDefault="00870D1A" w:rsidP="00870D1A">
            <w:pPr>
              <w:rPr>
                <w:rFonts w:ascii="Arial Narrow" w:hAnsi="Arial Narrow"/>
                <w:sz w:val="22"/>
              </w:rPr>
            </w:pPr>
            <w:r w:rsidRPr="00870D1A">
              <w:rPr>
                <w:rFonts w:ascii="Arial Narrow" w:hAnsi="Arial Narrow"/>
                <w:sz w:val="22"/>
              </w:rPr>
              <w:t>stationären Clostridientherapie in Deutschland</w:t>
            </w:r>
            <w:r w:rsidR="00B9394A"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>jedoch erst seit 2021 zum Einsatz. Die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>bisher regelhaft fehlende Erlösabbildung der neuen Behandlungsmethode trägt dabei</w:t>
            </w:r>
            <w:r w:rsidR="009E4E25"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>zum bisher reluktanten Therapieeinsatz bei.</w:t>
            </w:r>
            <w:r w:rsidRPr="00870D1A">
              <w:rPr>
                <w:rFonts w:ascii="Arial Narrow" w:hAnsi="Arial Narrow"/>
                <w:sz w:val="22"/>
              </w:rPr>
              <w:cr/>
            </w:r>
          </w:p>
          <w:p w14:paraId="6B1FDB47" w14:textId="6203FE64" w:rsidR="008E6675" w:rsidRPr="00D027BF" w:rsidRDefault="008E6675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36325A">
              <w:rPr>
                <w:rFonts w:ascii="Arial Narrow" w:hAnsi="Arial Narrow"/>
                <w:sz w:val="22"/>
                <w:szCs w:val="22"/>
              </w:rPr>
              <w:t>In den Informatione</w:t>
            </w:r>
            <w:r w:rsidR="00C11458">
              <w:rPr>
                <w:rFonts w:ascii="Arial Narrow" w:hAnsi="Arial Narrow"/>
                <w:sz w:val="22"/>
                <w:szCs w:val="22"/>
              </w:rPr>
              <w:t>n nach §</w:t>
            </w:r>
            <w:r w:rsidR="000C6CC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11458">
              <w:rPr>
                <w:rFonts w:ascii="Arial Narrow" w:hAnsi="Arial Narrow"/>
                <w:sz w:val="22"/>
                <w:szCs w:val="22"/>
              </w:rPr>
              <w:t>6 Abs. 2 KHEntgG für 202</w:t>
            </w:r>
            <w:r w:rsidR="000C6CC6">
              <w:rPr>
                <w:rFonts w:ascii="Arial Narrow" w:hAnsi="Arial Narrow"/>
                <w:sz w:val="22"/>
                <w:szCs w:val="22"/>
              </w:rPr>
              <w:t>4</w:t>
            </w:r>
            <w:r w:rsidRPr="0036325A">
              <w:rPr>
                <w:rFonts w:ascii="Arial Narrow" w:hAnsi="Arial Narrow"/>
                <w:sz w:val="22"/>
                <w:szCs w:val="22"/>
              </w:rPr>
              <w:t xml:space="preserve"> hat </w:t>
            </w:r>
            <w:r w:rsidR="00A868A6">
              <w:rPr>
                <w:rFonts w:ascii="Arial Narrow" w:hAnsi="Arial Narrow"/>
                <w:sz w:val="22"/>
                <w:szCs w:val="22"/>
              </w:rPr>
              <w:t>Fidaxomicin</w:t>
            </w:r>
            <w:r w:rsidRPr="0036325A">
              <w:rPr>
                <w:rFonts w:ascii="Arial Narrow" w:hAnsi="Arial Narrow"/>
                <w:sz w:val="22"/>
                <w:szCs w:val="22"/>
              </w:rPr>
              <w:t xml:space="preserve"> den Status </w:t>
            </w:r>
            <w:r w:rsidR="00827071">
              <w:rPr>
                <w:rFonts w:ascii="Arial Narrow" w:hAnsi="Arial Narrow"/>
                <w:sz w:val="22"/>
                <w:szCs w:val="22"/>
              </w:rPr>
              <w:t>2</w:t>
            </w:r>
            <w:r w:rsidR="00044597">
              <w:rPr>
                <w:rFonts w:ascii="Arial Narrow" w:hAnsi="Arial Narrow"/>
                <w:sz w:val="22"/>
                <w:szCs w:val="22"/>
              </w:rPr>
              <w:t>.</w:t>
            </w:r>
            <w:r w:rsidR="0049622C">
              <w:rPr>
                <w:rFonts w:ascii="Arial Narrow" w:hAnsi="Arial Narrow"/>
                <w:sz w:val="22"/>
                <w:szCs w:val="22"/>
              </w:rPr>
              <w:t xml:space="preserve"> Anzahl der anfragenden Krankenhäuser: </w:t>
            </w:r>
            <w:r w:rsidR="000C6CC6">
              <w:rPr>
                <w:rFonts w:ascii="Arial Narrow" w:hAnsi="Arial Narrow"/>
                <w:sz w:val="22"/>
                <w:szCs w:val="22"/>
              </w:rPr>
              <w:t>690</w:t>
            </w:r>
            <w:r w:rsidR="0049622C">
              <w:rPr>
                <w:rFonts w:ascii="Arial Narrow" w:hAnsi="Arial Narrow"/>
                <w:sz w:val="22"/>
                <w:szCs w:val="22"/>
              </w:rPr>
              <w:t>.</w:t>
            </w:r>
            <w:r w:rsidR="007849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325A">
              <w:rPr>
                <w:rFonts w:ascii="Arial Narrow" w:hAnsi="Arial Narrow"/>
                <w:sz w:val="22"/>
                <w:szCs w:val="22"/>
              </w:rPr>
              <w:t>Die E</w:t>
            </w:r>
            <w:r w:rsidR="00C11458">
              <w:rPr>
                <w:rFonts w:ascii="Arial Narrow" w:hAnsi="Arial Narrow"/>
                <w:sz w:val="22"/>
                <w:szCs w:val="22"/>
              </w:rPr>
              <w:t>instufung in den Status 2</w:t>
            </w:r>
            <w:r w:rsidR="0036325A">
              <w:rPr>
                <w:rFonts w:ascii="Arial Narrow" w:hAnsi="Arial Narrow"/>
                <w:sz w:val="22"/>
                <w:szCs w:val="22"/>
              </w:rPr>
              <w:t xml:space="preserve"> ist nicht nachvollziehbar</w:t>
            </w:r>
            <w:r w:rsidR="00A868A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278B59B3" w:rsidR="00A530BE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2ADFB414" w:rsidR="00D14350" w:rsidRPr="00C112A6" w:rsidRDefault="00CE1E20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CE1E20">
              <w:rPr>
                <w:rFonts w:ascii="Arial Narrow" w:hAnsi="Arial Narrow"/>
                <w:sz w:val="22"/>
              </w:rPr>
              <w:t>15.01.2013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lastRenderedPageBreak/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3CA94FC3" w:rsidR="00044597" w:rsidRPr="00C112A6" w:rsidRDefault="006777DE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6777DE">
              <w:rPr>
                <w:rFonts w:ascii="Arial Narrow" w:hAnsi="Arial Narrow"/>
                <w:sz w:val="22"/>
              </w:rPr>
              <w:t>5.12.2011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DD9094" w14:textId="02D79FAC" w:rsidR="00C112A6" w:rsidRPr="006777DE" w:rsidRDefault="006777DE" w:rsidP="00C112A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Fidaxomicin</w:t>
            </w:r>
            <w:r w:rsidR="008E6675">
              <w:rPr>
                <w:rFonts w:ascii="Arial Narrow" w:hAnsi="Arial Narrow"/>
                <w:sz w:val="22"/>
              </w:rPr>
              <w:t xml:space="preserve"> </w:t>
            </w:r>
            <w:r w:rsidR="008E6675" w:rsidRPr="00F000AA">
              <w:rPr>
                <w:rFonts w:ascii="Arial Narrow" w:hAnsi="Arial Narrow"/>
                <w:sz w:val="22"/>
              </w:rPr>
              <w:t xml:space="preserve">wird in ca. </w:t>
            </w:r>
            <w:r w:rsidR="000C6CC6">
              <w:rPr>
                <w:rFonts w:ascii="Arial Narrow" w:hAnsi="Arial Narrow"/>
                <w:sz w:val="22"/>
              </w:rPr>
              <w:t>690</w:t>
            </w:r>
            <w:r w:rsidR="008E6675" w:rsidRPr="00F000AA">
              <w:rPr>
                <w:rFonts w:ascii="Arial Narrow" w:hAnsi="Arial Narrow"/>
                <w:sz w:val="22"/>
              </w:rPr>
              <w:t xml:space="preserve"> Kliniken in Deutschland eingesetzt (Schätzung</w:t>
            </w:r>
            <w:r w:rsidR="00A100DC">
              <w:rPr>
                <w:rFonts w:ascii="Arial Narrow" w:hAnsi="Arial Narrow"/>
                <w:sz w:val="22"/>
              </w:rPr>
              <w:t xml:space="preserve"> aufgrund der NUB-Anfragen</w:t>
            </w:r>
            <w:r w:rsidR="008E6675">
              <w:rPr>
                <w:rFonts w:ascii="Arial Narrow" w:hAnsi="Arial Narrow"/>
                <w:sz w:val="22"/>
              </w:rPr>
              <w:t xml:space="preserve"> </w:t>
            </w:r>
            <w:r w:rsidR="00C112A6">
              <w:rPr>
                <w:rFonts w:ascii="Arial Narrow" w:hAnsi="Arial Narrow"/>
                <w:sz w:val="22"/>
              </w:rPr>
              <w:t>des Vorjahres</w:t>
            </w:r>
            <w:r w:rsidR="008E6675" w:rsidRPr="00F000AA">
              <w:rPr>
                <w:rFonts w:ascii="Arial Narrow" w:hAnsi="Arial Narrow"/>
                <w:sz w:val="22"/>
              </w:rPr>
              <w:t>).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7090C07D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0C6CC6">
              <w:rPr>
                <w:rFonts w:ascii="Arial Narrow" w:hAnsi="Arial Narrow"/>
                <w:b/>
                <w:sz w:val="22"/>
              </w:rPr>
              <w:t>3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0C6CC6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4858F089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0C6CC6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6FB4F61A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0C6CC6">
              <w:rPr>
                <w:rFonts w:ascii="Arial Narrow" w:hAnsi="Arial Narrow"/>
                <w:sz w:val="22"/>
              </w:rPr>
              <w:t>4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4A5ED009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Wieviele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0C6CC6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64008FC3" w14:textId="77777777" w:rsidR="00E363F1" w:rsidRPr="00E363F1" w:rsidRDefault="00E363F1" w:rsidP="005D60B6">
            <w:pPr>
              <w:rPr>
                <w:rFonts w:ascii="Arial Narrow" w:hAnsi="Arial Narrow"/>
                <w:sz w:val="22"/>
                <w:u w:val="single"/>
              </w:rPr>
            </w:pPr>
            <w:r w:rsidRPr="00E363F1">
              <w:rPr>
                <w:rFonts w:ascii="Arial Narrow" w:hAnsi="Arial Narrow"/>
                <w:sz w:val="22"/>
                <w:u w:val="single"/>
              </w:rPr>
              <w:t>Sachkosten</w:t>
            </w:r>
          </w:p>
          <w:p w14:paraId="40112931" w14:textId="4BFDD5D1" w:rsidR="004C3096" w:rsidRDefault="005D60B6" w:rsidP="005D60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Die </w:t>
            </w:r>
            <w:r w:rsidRPr="005D60B6">
              <w:rPr>
                <w:rFonts w:ascii="Arial Narrow" w:hAnsi="Arial Narrow"/>
                <w:sz w:val="22"/>
              </w:rPr>
              <w:t>Standard-Dosierung</w:t>
            </w:r>
            <w:r>
              <w:rPr>
                <w:rFonts w:ascii="Arial Narrow" w:hAnsi="Arial Narrow"/>
                <w:sz w:val="22"/>
              </w:rPr>
              <w:t xml:space="preserve"> für Erwachsene beträgt </w:t>
            </w:r>
            <w:r w:rsidRPr="005D60B6">
              <w:rPr>
                <w:rFonts w:ascii="Arial Narrow" w:hAnsi="Arial Narrow"/>
                <w:sz w:val="22"/>
              </w:rPr>
              <w:t>200 mg (eine Tablette) zweimal täglich (einmal alle 12 Stunden) über</w:t>
            </w:r>
            <w:r w:rsidR="00EA2F2D">
              <w:rPr>
                <w:rFonts w:ascii="Arial Narrow" w:hAnsi="Arial Narrow"/>
                <w:sz w:val="22"/>
              </w:rPr>
              <w:t xml:space="preserve"> </w:t>
            </w:r>
            <w:r w:rsidRPr="005D60B6">
              <w:rPr>
                <w:rFonts w:ascii="Arial Narrow" w:hAnsi="Arial Narrow"/>
                <w:sz w:val="22"/>
              </w:rPr>
              <w:t>10 Tage</w:t>
            </w:r>
            <w:r w:rsidR="00EA2F2D">
              <w:rPr>
                <w:rFonts w:ascii="Arial Narrow" w:hAnsi="Arial Narrow"/>
                <w:sz w:val="22"/>
              </w:rPr>
              <w:t>.</w:t>
            </w:r>
          </w:p>
          <w:p w14:paraId="7E23BE68" w14:textId="4E33879D" w:rsidR="004C3096" w:rsidRDefault="004C3096" w:rsidP="004C3096">
            <w:pPr>
              <w:rPr>
                <w:rFonts w:ascii="Arial Narrow" w:hAnsi="Arial Narrow"/>
                <w:sz w:val="22"/>
              </w:rPr>
            </w:pPr>
            <w:r w:rsidRPr="004C3096">
              <w:rPr>
                <w:rFonts w:ascii="Arial Narrow" w:hAnsi="Arial Narrow"/>
                <w:sz w:val="22"/>
              </w:rPr>
              <w:t>Die Therapiekosten eines 10-tägigen Behandlungszyklus mit Fidaxomicin betragen</w:t>
            </w:r>
            <w:r w:rsidR="00EA2F2D">
              <w:rPr>
                <w:rFonts w:ascii="Arial Narrow" w:hAnsi="Arial Narrow"/>
                <w:sz w:val="22"/>
              </w:rPr>
              <w:t xml:space="preserve"> </w:t>
            </w:r>
            <w:r w:rsidR="007209C6">
              <w:rPr>
                <w:rFonts w:ascii="Arial Narrow" w:hAnsi="Arial Narrow"/>
                <w:sz w:val="22"/>
              </w:rPr>
              <w:t>1.736,86</w:t>
            </w:r>
            <w:r w:rsidRPr="004C3096">
              <w:rPr>
                <w:rFonts w:ascii="Arial Narrow" w:hAnsi="Arial Narrow"/>
                <w:sz w:val="22"/>
              </w:rPr>
              <w:t xml:space="preserve"> € </w:t>
            </w:r>
            <w:r w:rsidR="00A44630">
              <w:rPr>
                <w:rFonts w:ascii="Arial Narrow" w:hAnsi="Arial Narrow"/>
                <w:sz w:val="22"/>
              </w:rPr>
              <w:t xml:space="preserve">bzw. </w:t>
            </w:r>
            <w:r w:rsidR="00AE19FA">
              <w:rPr>
                <w:rFonts w:ascii="Arial Narrow" w:hAnsi="Arial Narrow"/>
                <w:sz w:val="22"/>
              </w:rPr>
              <w:t xml:space="preserve">173,69 € täglich </w:t>
            </w:r>
            <w:r w:rsidRPr="004C3096">
              <w:rPr>
                <w:rFonts w:ascii="Arial Narrow" w:hAnsi="Arial Narrow"/>
                <w:sz w:val="22"/>
              </w:rPr>
              <w:t>(</w:t>
            </w:r>
            <w:r w:rsidR="007209C6">
              <w:rPr>
                <w:rFonts w:ascii="Arial Narrow" w:hAnsi="Arial Narrow"/>
                <w:sz w:val="22"/>
              </w:rPr>
              <w:t>La</w:t>
            </w:r>
            <w:r w:rsidR="005E6676">
              <w:rPr>
                <w:rFonts w:ascii="Arial Narrow" w:hAnsi="Arial Narrow"/>
                <w:sz w:val="22"/>
              </w:rPr>
              <w:t xml:space="preserve">uer-Taxe, Taxe-VK </w:t>
            </w:r>
            <w:r w:rsidRPr="004C3096">
              <w:rPr>
                <w:rFonts w:ascii="Arial Narrow" w:hAnsi="Arial Narrow"/>
                <w:sz w:val="22"/>
              </w:rPr>
              <w:t>inkl. 19% MwSt.</w:t>
            </w:r>
            <w:r w:rsidR="005E6676">
              <w:rPr>
                <w:rFonts w:ascii="Arial Narrow" w:hAnsi="Arial Narrow"/>
                <w:sz w:val="22"/>
              </w:rPr>
              <w:t>, Stand 24.09.2024</w:t>
            </w:r>
            <w:r w:rsidRPr="004C3096">
              <w:rPr>
                <w:rFonts w:ascii="Arial Narrow" w:hAnsi="Arial Narrow"/>
                <w:sz w:val="22"/>
              </w:rPr>
              <w:t>)</w:t>
            </w:r>
            <w:r w:rsidR="005E6676">
              <w:rPr>
                <w:rFonts w:ascii="Arial Narrow" w:hAnsi="Arial Narrow"/>
                <w:sz w:val="22"/>
              </w:rPr>
              <w:t>.</w:t>
            </w:r>
          </w:p>
          <w:p w14:paraId="610BBD79" w14:textId="77777777" w:rsidR="00E363F1" w:rsidRPr="004C3096" w:rsidRDefault="00E363F1" w:rsidP="004C3096">
            <w:pPr>
              <w:rPr>
                <w:rFonts w:ascii="Arial Narrow" w:hAnsi="Arial Narrow"/>
                <w:sz w:val="22"/>
              </w:rPr>
            </w:pPr>
          </w:p>
          <w:p w14:paraId="51062227" w14:textId="74640652" w:rsidR="00A530BE" w:rsidRPr="00304296" w:rsidRDefault="00A530BE" w:rsidP="005638EB">
            <w:pPr>
              <w:rPr>
                <w:rFonts w:ascii="Arial Narrow" w:hAnsi="Arial Narrow"/>
                <w:sz w:val="22"/>
                <w:u w:val="single"/>
              </w:rPr>
            </w:pPr>
            <w:r w:rsidRPr="00304296">
              <w:rPr>
                <w:rFonts w:ascii="Arial Narrow" w:hAnsi="Arial Narrow"/>
                <w:sz w:val="22"/>
                <w:u w:val="single"/>
              </w:rPr>
              <w:t>Personalk</w:t>
            </w:r>
            <w:r w:rsidR="001774E7" w:rsidRPr="00304296">
              <w:rPr>
                <w:rFonts w:ascii="Arial Narrow" w:hAnsi="Arial Narrow"/>
                <w:sz w:val="22"/>
                <w:u w:val="single"/>
              </w:rPr>
              <w:t>osten</w:t>
            </w:r>
          </w:p>
          <w:p w14:paraId="7D03D20B" w14:textId="35283FA5" w:rsidR="00156FE0" w:rsidRPr="006D0709" w:rsidRDefault="00A530BE" w:rsidP="007A314E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Applikation: ca. 5 Minuten (PD)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5DC14625" w14:textId="1A26C7E9" w:rsidR="00DF6D06" w:rsidRPr="00DF6D06" w:rsidRDefault="00DF6D06" w:rsidP="00DF6D06">
            <w:pPr>
              <w:rPr>
                <w:rFonts w:ascii="Arial Narrow" w:hAnsi="Arial Narrow"/>
                <w:sz w:val="22"/>
              </w:rPr>
            </w:pPr>
            <w:r w:rsidRPr="00DF6D06">
              <w:rPr>
                <w:rFonts w:ascii="Arial Narrow" w:hAnsi="Arial Narrow"/>
                <w:sz w:val="22"/>
              </w:rPr>
              <w:t xml:space="preserve">G67A </w:t>
            </w:r>
          </w:p>
          <w:p w14:paraId="7DFBD0E3" w14:textId="77777777" w:rsidR="00DF6D06" w:rsidRDefault="00DF6D06" w:rsidP="00DF6D06">
            <w:pPr>
              <w:rPr>
                <w:rFonts w:ascii="Arial Narrow" w:hAnsi="Arial Narrow"/>
                <w:sz w:val="22"/>
              </w:rPr>
            </w:pPr>
            <w:r w:rsidRPr="00DF6D06">
              <w:rPr>
                <w:rFonts w:ascii="Arial Narrow" w:hAnsi="Arial Narrow"/>
                <w:sz w:val="22"/>
              </w:rPr>
              <w:t>F62C</w:t>
            </w:r>
          </w:p>
          <w:p w14:paraId="3FDE8751" w14:textId="779AE724" w:rsidR="008E6675" w:rsidRPr="00A100DC" w:rsidRDefault="00DF6D06" w:rsidP="00DF6D06">
            <w:pPr>
              <w:rPr>
                <w:rFonts w:ascii="Arial Narrow" w:hAnsi="Arial Narrow"/>
                <w:color w:val="00B050"/>
                <w:sz w:val="22"/>
              </w:rPr>
            </w:pPr>
            <w:r w:rsidRPr="00DF6D06">
              <w:rPr>
                <w:rFonts w:ascii="Arial Narrow" w:hAnsi="Arial Narrow"/>
                <w:sz w:val="22"/>
              </w:rPr>
              <w:t>B43Z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1CC03065" w14:textId="669EEC44" w:rsidR="008E6675" w:rsidRPr="00ED4386" w:rsidRDefault="0062645A" w:rsidP="005638EB">
            <w:pPr>
              <w:rPr>
                <w:rFonts w:ascii="Arial Narrow" w:hAnsi="Arial Narrow"/>
                <w:sz w:val="22"/>
              </w:rPr>
            </w:pPr>
            <w:r w:rsidRPr="0062645A">
              <w:rPr>
                <w:rFonts w:ascii="Arial Narrow" w:hAnsi="Arial Narrow"/>
                <w:sz w:val="22"/>
              </w:rPr>
              <w:t>Fidaxomicin</w:t>
            </w:r>
            <w:r w:rsidR="008E6675" w:rsidRPr="0062645A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wurde im Jahr </w:t>
            </w:r>
            <w:r>
              <w:rPr>
                <w:rFonts w:ascii="Arial Narrow" w:hAnsi="Arial Narrow"/>
                <w:sz w:val="22"/>
              </w:rPr>
              <w:t>2011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zugelassen und ist seit dem Jahr </w:t>
            </w:r>
            <w:r>
              <w:rPr>
                <w:rFonts w:ascii="Arial Narrow" w:hAnsi="Arial Narrow"/>
                <w:sz w:val="22"/>
              </w:rPr>
              <w:t>2013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in Deutschland auf dem Markt. </w:t>
            </w:r>
          </w:p>
          <w:p w14:paraId="140D583A" w14:textId="07D0C189" w:rsidR="008E6675" w:rsidRPr="00ED4386" w:rsidRDefault="001774E7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Für das Datenjahr 202</w:t>
            </w:r>
            <w:r w:rsidR="00AE19FA">
              <w:rPr>
                <w:rFonts w:ascii="Arial Narrow" w:hAnsi="Arial Narrow"/>
                <w:sz w:val="22"/>
              </w:rPr>
              <w:t>3</w:t>
            </w:r>
            <w:r w:rsidR="008E6675" w:rsidRPr="00ED4386">
              <w:rPr>
                <w:rFonts w:ascii="Arial Narrow" w:hAnsi="Arial Narrow"/>
                <w:sz w:val="22"/>
              </w:rPr>
              <w:t xml:space="preserve"> sollten </w:t>
            </w:r>
            <w:r w:rsidR="006549F4" w:rsidRPr="00ED4386">
              <w:rPr>
                <w:rFonts w:ascii="Arial Narrow" w:hAnsi="Arial Narrow"/>
                <w:sz w:val="22"/>
              </w:rPr>
              <w:t xml:space="preserve">aus den Kalkulationshäusern </w:t>
            </w:r>
            <w:r w:rsidR="008E6675" w:rsidRPr="00ED4386">
              <w:rPr>
                <w:rFonts w:ascii="Arial Narrow" w:hAnsi="Arial Narrow"/>
                <w:sz w:val="22"/>
              </w:rPr>
              <w:t xml:space="preserve">Kostendaten für den Einsatz vorliegen. </w:t>
            </w:r>
          </w:p>
          <w:p w14:paraId="5EFE7220" w14:textId="22C597CA" w:rsidR="008E6675" w:rsidRDefault="008E6675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Wir vermuten, dass di</w:t>
            </w:r>
            <w:r w:rsidR="00A100DC" w:rsidRPr="00ED4386">
              <w:rPr>
                <w:rFonts w:ascii="Arial Narrow" w:hAnsi="Arial Narrow"/>
                <w:sz w:val="22"/>
              </w:rPr>
              <w:t>e Stichprobe jedoch zu klein war</w:t>
            </w:r>
            <w:r w:rsidRPr="00ED4386">
              <w:rPr>
                <w:rFonts w:ascii="Arial Narrow" w:hAnsi="Arial Narrow"/>
                <w:sz w:val="22"/>
              </w:rPr>
              <w:t>, als dass genügend Kosten- und Leistungsinformationen aus den Krankenhäusern vorliegen, um damit eine sachgerechte Abbildung im G-DRG System 20</w:t>
            </w:r>
            <w:r w:rsidR="001774E7" w:rsidRPr="00ED4386">
              <w:rPr>
                <w:rFonts w:ascii="Arial Narrow" w:hAnsi="Arial Narrow"/>
                <w:sz w:val="22"/>
              </w:rPr>
              <w:t>2</w:t>
            </w:r>
            <w:r w:rsidR="00AE19FA">
              <w:rPr>
                <w:rFonts w:ascii="Arial Narrow" w:hAnsi="Arial Narrow"/>
                <w:sz w:val="22"/>
              </w:rPr>
              <w:t>5</w:t>
            </w:r>
            <w:r w:rsidRPr="00ED4386">
              <w:rPr>
                <w:rFonts w:ascii="Arial Narrow" w:hAnsi="Arial Narrow"/>
                <w:sz w:val="22"/>
              </w:rPr>
              <w:t xml:space="preserve"> zu ermöglichen.</w:t>
            </w:r>
          </w:p>
          <w:p w14:paraId="10E5AA40" w14:textId="77777777" w:rsidR="0033565D" w:rsidRDefault="0033565D" w:rsidP="008C1686">
            <w:pPr>
              <w:rPr>
                <w:rFonts w:ascii="Arial Narrow" w:hAnsi="Arial Narrow"/>
                <w:sz w:val="22"/>
              </w:rPr>
            </w:pPr>
          </w:p>
          <w:p w14:paraId="0BE9C89F" w14:textId="77777777" w:rsidR="0033565D" w:rsidRPr="0033565D" w:rsidRDefault="0033565D" w:rsidP="0033565D">
            <w:pPr>
              <w:rPr>
                <w:rFonts w:ascii="Arial Narrow" w:hAnsi="Arial Narrow"/>
                <w:sz w:val="22"/>
              </w:rPr>
            </w:pPr>
            <w:r w:rsidRPr="0033565D">
              <w:rPr>
                <w:rFonts w:ascii="Arial Narrow" w:hAnsi="Arial Narrow"/>
                <w:sz w:val="22"/>
              </w:rPr>
              <w:t xml:space="preserve">Zum einen existiert kein OPS-Kode, weshalb eine patientenspezifische Rückverfolgung nicht möglich ist. </w:t>
            </w:r>
          </w:p>
          <w:p w14:paraId="68C77C1D" w14:textId="547D4A7C" w:rsidR="0033565D" w:rsidRPr="00ED4386" w:rsidRDefault="0033565D" w:rsidP="0033565D">
            <w:pPr>
              <w:rPr>
                <w:rFonts w:ascii="Arial Narrow" w:hAnsi="Arial Narrow"/>
                <w:sz w:val="22"/>
              </w:rPr>
            </w:pPr>
            <w:r w:rsidRPr="0033565D">
              <w:rPr>
                <w:rFonts w:ascii="Arial Narrow" w:hAnsi="Arial Narrow"/>
                <w:sz w:val="22"/>
              </w:rPr>
              <w:t xml:space="preserve">Zum anderen besteht die Gefahr, dass </w:t>
            </w:r>
            <w:r w:rsidR="00E766FF" w:rsidRPr="00E766FF">
              <w:rPr>
                <w:rFonts w:ascii="Arial Narrow" w:hAnsi="Arial Narrow"/>
                <w:sz w:val="22"/>
              </w:rPr>
              <w:t xml:space="preserve">Fidaxomicin </w:t>
            </w:r>
            <w:r w:rsidRPr="0033565D">
              <w:rPr>
                <w:rFonts w:ascii="Arial Narrow" w:hAnsi="Arial Narrow"/>
                <w:sz w:val="22"/>
              </w:rPr>
              <w:t>mit allen anderen verfügbaren Antibiotika verbucht wird und somit eine patientenindividuelle Zuordnung der Kosten im Kalkulationsverfahren nicht möglich ist.</w:t>
            </w:r>
          </w:p>
          <w:p w14:paraId="1731A483" w14:textId="77777777" w:rsidR="0033565D" w:rsidRDefault="0033565D" w:rsidP="008C1686">
            <w:pPr>
              <w:rPr>
                <w:rFonts w:ascii="Arial Narrow" w:hAnsi="Arial Narrow"/>
                <w:sz w:val="22"/>
              </w:rPr>
            </w:pPr>
          </w:p>
          <w:p w14:paraId="1FD51097" w14:textId="3BF5E553" w:rsidR="00B2756A" w:rsidRDefault="008E6675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lastRenderedPageBreak/>
              <w:t xml:space="preserve">Die zusätzlichen Kosten von ca. </w:t>
            </w:r>
            <w:r w:rsidR="00F45289">
              <w:rPr>
                <w:rFonts w:ascii="Arial Narrow" w:hAnsi="Arial Narrow"/>
                <w:sz w:val="22"/>
              </w:rPr>
              <w:t>1.</w:t>
            </w:r>
            <w:r w:rsidR="006F5387">
              <w:rPr>
                <w:rFonts w:ascii="Arial Narrow" w:hAnsi="Arial Narrow"/>
                <w:sz w:val="22"/>
              </w:rPr>
              <w:t>736</w:t>
            </w:r>
            <w:r w:rsidRPr="00ED4386">
              <w:rPr>
                <w:rFonts w:ascii="Arial Narrow" w:hAnsi="Arial Narrow"/>
                <w:sz w:val="22"/>
              </w:rPr>
              <w:t xml:space="preserve"> € pro </w:t>
            </w:r>
            <w:r w:rsidR="00F45289">
              <w:rPr>
                <w:rFonts w:ascii="Arial Narrow" w:hAnsi="Arial Narrow"/>
                <w:sz w:val="22"/>
              </w:rPr>
              <w:t>Behandlungszyklus</w:t>
            </w:r>
            <w:r w:rsidRPr="00ED4386">
              <w:rPr>
                <w:rFonts w:ascii="Arial Narrow" w:hAnsi="Arial Narrow"/>
                <w:sz w:val="22"/>
              </w:rPr>
              <w:t xml:space="preserve"> können aber mit der</w:t>
            </w:r>
            <w:r w:rsidR="00A100DC" w:rsidRPr="00ED4386">
              <w:rPr>
                <w:rFonts w:ascii="Arial Narrow" w:hAnsi="Arial Narrow"/>
                <w:sz w:val="22"/>
              </w:rPr>
              <w:t>/den o.g.</w:t>
            </w:r>
            <w:r w:rsidRPr="00ED4386">
              <w:rPr>
                <w:rFonts w:ascii="Arial Narrow" w:hAnsi="Arial Narrow"/>
                <w:sz w:val="22"/>
              </w:rPr>
              <w:t xml:space="preserve"> Fallpauschale</w:t>
            </w:r>
            <w:r w:rsidR="00A100DC" w:rsidRPr="00ED4386">
              <w:rPr>
                <w:rFonts w:ascii="Arial Narrow" w:hAnsi="Arial Narrow"/>
                <w:sz w:val="22"/>
              </w:rPr>
              <w:t>(n)</w:t>
            </w:r>
            <w:r w:rsidRPr="00ED4386">
              <w:rPr>
                <w:rFonts w:ascii="Arial Narrow" w:hAnsi="Arial Narrow"/>
                <w:sz w:val="22"/>
              </w:rPr>
              <w:t xml:space="preserve"> allein nicht ausreichend abgebildet werden</w:t>
            </w:r>
            <w:r w:rsidR="00033C6B">
              <w:rPr>
                <w:rFonts w:ascii="Arial Narrow" w:hAnsi="Arial Narrow"/>
                <w:sz w:val="22"/>
              </w:rPr>
              <w:t xml:space="preserve"> (siehe kalkulierte Sachkosten der betroffenen DRGs):</w:t>
            </w:r>
          </w:p>
          <w:p w14:paraId="75772963" w14:textId="77777777" w:rsidR="00B2756A" w:rsidRDefault="00B2756A" w:rsidP="008C1686">
            <w:pPr>
              <w:rPr>
                <w:rFonts w:ascii="Arial Narrow" w:hAnsi="Arial Narrow"/>
                <w:sz w:val="22"/>
              </w:rPr>
            </w:pPr>
          </w:p>
          <w:p w14:paraId="222643B9" w14:textId="6B71B9F0" w:rsidR="008E6675" w:rsidRPr="00ED4386" w:rsidRDefault="00F45289" w:rsidP="00B2756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Fidaxomicin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ist bisher im ZE Katalog nicht enthalten. Aufgrund der hohen Kosten des Medikaments kommt es zu einer </w:t>
            </w:r>
            <w:r w:rsidR="00CB3CA3" w:rsidRPr="00ED4386">
              <w:rPr>
                <w:rFonts w:ascii="Arial Narrow" w:hAnsi="Arial Narrow"/>
                <w:sz w:val="22"/>
              </w:rPr>
              <w:t>Unterfinanzierung</w:t>
            </w:r>
            <w:r w:rsidR="008E6675" w:rsidRPr="00ED4386">
              <w:rPr>
                <w:rFonts w:ascii="Arial Narrow" w:hAnsi="Arial Narrow"/>
                <w:sz w:val="22"/>
              </w:rPr>
              <w:t xml:space="preserve"> in der</w:t>
            </w:r>
            <w:r w:rsidR="00A100DC" w:rsidRPr="00ED4386">
              <w:rPr>
                <w:rFonts w:ascii="Arial Narrow" w:hAnsi="Arial Narrow"/>
                <w:sz w:val="22"/>
              </w:rPr>
              <w:t>/den</w:t>
            </w:r>
            <w:r w:rsidR="008E6675" w:rsidRPr="00ED4386">
              <w:rPr>
                <w:rFonts w:ascii="Arial Narrow" w:hAnsi="Arial Narrow"/>
                <w:sz w:val="22"/>
              </w:rPr>
              <w:t xml:space="preserve"> betroffenen DRG</w:t>
            </w:r>
            <w:r w:rsidR="00B2756A">
              <w:rPr>
                <w:rFonts w:ascii="Arial Narrow" w:hAnsi="Arial Narrow"/>
                <w:sz w:val="22"/>
              </w:rPr>
              <w:t>s.</w:t>
            </w:r>
            <w:r w:rsidR="00F757B1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0962" w14:textId="77777777" w:rsidR="007F1940" w:rsidRDefault="007F1940">
      <w:r>
        <w:separator/>
      </w:r>
    </w:p>
  </w:endnote>
  <w:endnote w:type="continuationSeparator" w:id="0">
    <w:p w14:paraId="73AC006B" w14:textId="77777777" w:rsidR="007F1940" w:rsidRDefault="007F1940">
      <w:r>
        <w:continuationSeparator/>
      </w:r>
    </w:p>
  </w:endnote>
  <w:endnote w:type="continuationNotice" w:id="1">
    <w:p w14:paraId="12400CC1" w14:textId="77777777" w:rsidR="007F1940" w:rsidRDefault="007F1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2BB1" w14:textId="77777777" w:rsidR="0048656D" w:rsidRDefault="004865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5F93" w14:textId="77E212DD" w:rsidR="00BD2250" w:rsidRPr="004F0DB7" w:rsidRDefault="00BD2250" w:rsidP="00BD2250">
    <w:pPr>
      <w:pStyle w:val="Fuzeile"/>
      <w:rPr>
        <w:rFonts w:ascii="Arial Narrow" w:hAnsi="Arial Narrow" w:cs="Arial"/>
        <w:sz w:val="18"/>
        <w:szCs w:val="18"/>
      </w:rPr>
    </w:pPr>
    <w:r w:rsidRPr="004F0DB7">
      <w:rPr>
        <w:rFonts w:ascii="Arial Narrow" w:hAnsi="Arial Narrow" w:cs="Arial"/>
        <w:sz w:val="18"/>
        <w:szCs w:val="18"/>
      </w:rPr>
      <w:t xml:space="preserve">NUB-Musteranfrage </w:t>
    </w:r>
    <w:r w:rsidRPr="004F0DB7">
      <w:rPr>
        <w:rFonts w:ascii="Arial Narrow" w:hAnsi="Arial Narrow" w:cs="Arial"/>
        <w:color w:val="000000" w:themeColor="text1"/>
        <w:sz w:val="18"/>
        <w:szCs w:val="18"/>
      </w:rPr>
      <w:t>Fidaxomicin</w:t>
    </w:r>
  </w:p>
  <w:p w14:paraId="748962BD" w14:textId="77777777" w:rsidR="00BD2250" w:rsidRPr="004F0DB7" w:rsidRDefault="00636DB5" w:rsidP="00BD2250">
    <w:pPr>
      <w:pStyle w:val="Fuzeile"/>
      <w:rPr>
        <w:rFonts w:ascii="Arial Narrow" w:hAnsi="Arial Narrow" w:cs="Arial"/>
        <w:sz w:val="18"/>
        <w:szCs w:val="18"/>
      </w:rPr>
    </w:pPr>
    <w:hyperlink r:id="rId1" w:history="1">
      <w:r w:rsidR="00BD2250" w:rsidRPr="004F0DB7">
        <w:rPr>
          <w:rStyle w:val="Hyperlink"/>
          <w:rFonts w:ascii="Arial Narrow" w:hAnsi="Arial Narrow" w:cs="Arial"/>
          <w:sz w:val="18"/>
          <w:szCs w:val="18"/>
        </w:rPr>
        <w:t>Arbeitskreis DRG und Gesundheitsökonomie der Deutschen Gesellschaft für Hämatologie und medizinische Onkologie e.V.</w:t>
      </w:r>
    </w:hyperlink>
  </w:p>
  <w:p w14:paraId="559DF2C8" w14:textId="77777777" w:rsidR="00BD2250" w:rsidRPr="004F0DB7" w:rsidRDefault="00636DB5" w:rsidP="00BD2250">
    <w:pPr>
      <w:pStyle w:val="Fuzeile"/>
      <w:rPr>
        <w:rFonts w:ascii="Arial Narrow" w:hAnsi="Arial Narrow" w:cs="Arial"/>
        <w:sz w:val="18"/>
        <w:szCs w:val="18"/>
      </w:rPr>
    </w:pPr>
    <w:hyperlink r:id="rId2" w:history="1">
      <w:r w:rsidR="00BD2250" w:rsidRPr="004F0DB7">
        <w:rPr>
          <w:rStyle w:val="Hyperlink"/>
          <w:rFonts w:ascii="Arial Narrow" w:hAnsi="Arial Narrow" w:cs="Arial"/>
          <w:sz w:val="18"/>
          <w:szCs w:val="18"/>
        </w:rPr>
        <w:t>www.dgho.de</w:t>
      </w:r>
    </w:hyperlink>
  </w:p>
  <w:p w14:paraId="2777C1E4" w14:textId="77777777" w:rsidR="00BD2250" w:rsidRPr="001C52AC" w:rsidRDefault="00BD2250" w:rsidP="00BD2250">
    <w:pPr>
      <w:pStyle w:val="Fuzeile"/>
      <w:rPr>
        <w:rFonts w:ascii="Arial Narrow" w:hAnsi="Arial Narrow" w:cs="Arial"/>
        <w:sz w:val="18"/>
        <w:szCs w:val="18"/>
      </w:rPr>
    </w:pPr>
    <w:r w:rsidRPr="001C52AC">
      <w:rPr>
        <w:rFonts w:ascii="Arial Narrow" w:hAnsi="Arial Narrow" w:cs="Arial"/>
        <w:sz w:val="18"/>
        <w:szCs w:val="18"/>
      </w:rPr>
      <w:t xml:space="preserve">Deutsche Gesellschaft für Infektiologie e. V., </w:t>
    </w:r>
    <w:hyperlink r:id="rId3" w:history="1">
      <w:r w:rsidRPr="001C52AC">
        <w:rPr>
          <w:rStyle w:val="Hyperlink"/>
          <w:rFonts w:ascii="Arial Narrow" w:hAnsi="Arial Narrow" w:cs="Arial"/>
          <w:sz w:val="18"/>
          <w:szCs w:val="18"/>
        </w:rPr>
        <w:t>www.dgi-net.de</w:t>
      </w:r>
    </w:hyperlink>
  </w:p>
  <w:p w14:paraId="38561C7F" w14:textId="77777777" w:rsidR="00BD2250" w:rsidRPr="001C52AC" w:rsidRDefault="00BD2250" w:rsidP="00BD2250">
    <w:pPr>
      <w:pStyle w:val="Fuzeile"/>
      <w:framePr w:wrap="none" w:vAnchor="text" w:hAnchor="page" w:x="1411" w:y="5"/>
      <w:rPr>
        <w:rStyle w:val="Seitenzahl"/>
        <w:rFonts w:ascii="Arial Narrow" w:hAnsi="Arial Narrow" w:cs="Arial"/>
        <w:sz w:val="18"/>
        <w:szCs w:val="18"/>
      </w:rPr>
    </w:pPr>
    <w:bookmarkStart w:id="1" w:name="_Hlk139466795"/>
    <w:bookmarkStart w:id="2" w:name="_Hlk139466796"/>
    <w:r w:rsidRPr="001C52AC">
      <w:rPr>
        <w:rStyle w:val="Seitenzahl"/>
        <w:rFonts w:ascii="Arial Narrow" w:hAnsi="Arial Narrow" w:cs="Arial"/>
        <w:sz w:val="18"/>
        <w:szCs w:val="18"/>
      </w:rPr>
      <w:t xml:space="preserve">Seite </w:t>
    </w:r>
    <w:sdt>
      <w:sdtPr>
        <w:rPr>
          <w:rStyle w:val="Seitenzahl"/>
          <w:rFonts w:ascii="Arial Narrow" w:hAnsi="Arial Narrow" w:cs="Arial"/>
          <w:sz w:val="18"/>
          <w:szCs w:val="18"/>
        </w:rPr>
        <w:id w:val="622501315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Pr="001C52AC">
          <w:rPr>
            <w:rStyle w:val="Seitenzahl"/>
            <w:rFonts w:ascii="Arial Narrow" w:hAnsi="Arial Narrow" w:cs="Arial"/>
            <w:sz w:val="18"/>
            <w:szCs w:val="18"/>
          </w:rPr>
          <w:fldChar w:fldCharType="begin"/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instrText xml:space="preserve"> PAGE </w:instrText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fldChar w:fldCharType="separate"/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t>1</w:t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fldChar w:fldCharType="end"/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t xml:space="preserve"> von 4</w:t>
        </w:r>
      </w:sdtContent>
    </w:sdt>
  </w:p>
  <w:p w14:paraId="5A9017B7" w14:textId="77777777" w:rsidR="00BD2250" w:rsidRPr="001C52AC" w:rsidRDefault="00BD2250" w:rsidP="00BD2250">
    <w:pPr>
      <w:rPr>
        <w:rFonts w:ascii="Arial Narrow" w:hAnsi="Arial Narrow" w:cs="Arial"/>
        <w:snapToGrid w:val="0"/>
        <w:sz w:val="18"/>
        <w:szCs w:val="18"/>
      </w:rPr>
    </w:pPr>
  </w:p>
  <w:bookmarkEnd w:id="1"/>
  <w:bookmarkEnd w:id="2"/>
  <w:p w14:paraId="6E7C81DA" w14:textId="2A492CF2" w:rsidR="00F64982" w:rsidRPr="00636DB5" w:rsidRDefault="001C52AC" w:rsidP="001C52AC">
    <w:pPr>
      <w:rPr>
        <w:lang w:val="en-GB"/>
      </w:rPr>
    </w:pPr>
    <w:r w:rsidRPr="00636DB5">
      <w:rPr>
        <w:rFonts w:ascii="Arial Narrow" w:hAnsi="Arial Narrow" w:cs="Arial"/>
        <w:sz w:val="18"/>
        <w:szCs w:val="18"/>
        <w:lang w:val="en-GB"/>
      </w:rPr>
      <w:t>25-53</w:t>
    </w:r>
    <w:r w:rsidR="00BD2250" w:rsidRPr="00636DB5">
      <w:rPr>
        <w:rFonts w:ascii="Arial Narrow" w:hAnsi="Arial Narrow" w:cs="Arial"/>
        <w:sz w:val="18"/>
        <w:szCs w:val="18"/>
        <w:lang w:val="en-GB"/>
      </w:rPr>
      <w:t xml:space="preserve"> Fidaxomicin</w:t>
    </w:r>
    <w:r w:rsidR="00636DB5" w:rsidRPr="00636DB5">
      <w:rPr>
        <w:rFonts w:ascii="Arial Narrow" w:hAnsi="Arial Narrow" w:cs="Arial"/>
        <w:sz w:val="18"/>
        <w:szCs w:val="18"/>
        <w:lang w:val="en-GB"/>
      </w:rPr>
      <w:t>_NUB-Anfragte-DGHO-DGI_</w:t>
    </w:r>
    <w:r w:rsidR="00BD2250" w:rsidRPr="00636DB5">
      <w:rPr>
        <w:rFonts w:ascii="Arial Narrow" w:hAnsi="Arial Narrow" w:cs="Arial"/>
        <w:sz w:val="18"/>
        <w:szCs w:val="18"/>
        <w:lang w:val="en-GB"/>
      </w:rPr>
      <w:t xml:space="preserve">Stand </w:t>
    </w:r>
    <w:r w:rsidRPr="00636DB5">
      <w:rPr>
        <w:rFonts w:ascii="Arial Narrow" w:hAnsi="Arial Narrow" w:cs="Arial"/>
        <w:sz w:val="18"/>
        <w:szCs w:val="18"/>
        <w:lang w:val="en-GB"/>
      </w:rPr>
      <w:t xml:space="preserve">2024-09-24 </w:t>
    </w:r>
    <w:r w:rsidR="00636DB5" w:rsidRPr="00636DB5">
      <w:rPr>
        <w:rFonts w:ascii="Arial Narrow" w:hAnsi="Arial Narrow" w:cs="Arial"/>
        <w:sz w:val="18"/>
        <w:szCs w:val="18"/>
        <w:lang w:val="en-GB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4085" w14:textId="77777777" w:rsidR="0048656D" w:rsidRDefault="004865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8982" w14:textId="77777777" w:rsidR="007F1940" w:rsidRDefault="007F1940">
      <w:r>
        <w:separator/>
      </w:r>
    </w:p>
  </w:footnote>
  <w:footnote w:type="continuationSeparator" w:id="0">
    <w:p w14:paraId="640FD0F0" w14:textId="77777777" w:rsidR="007F1940" w:rsidRDefault="007F1940">
      <w:r>
        <w:continuationSeparator/>
      </w:r>
    </w:p>
  </w:footnote>
  <w:footnote w:type="continuationNotice" w:id="1">
    <w:p w14:paraId="2998E665" w14:textId="77777777" w:rsidR="007F1940" w:rsidRDefault="007F19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6C6C6" w14:textId="77777777" w:rsidR="0048656D" w:rsidRDefault="004865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4467ED70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</w:t>
    </w:r>
    <w:r w:rsidR="00BE008B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BE008B">
      <w:rPr>
        <w:sz w:val="48"/>
      </w:rPr>
      <w:t>5</w:t>
    </w:r>
    <w:r w:rsidRPr="004C4F82">
      <w:rPr>
        <w:sz w:val="48"/>
      </w:rPr>
      <w:t xml:space="preserve"> </w:t>
    </w:r>
  </w:p>
  <w:p w14:paraId="2D6FE634" w14:textId="199D5BC7" w:rsidR="00F64982" w:rsidRPr="004C4F82" w:rsidRDefault="005C3586" w:rsidP="00596F9A">
    <w:pPr>
      <w:pStyle w:val="Titel"/>
      <w:rPr>
        <w:sz w:val="48"/>
      </w:rPr>
    </w:pPr>
    <w:r>
      <w:rPr>
        <w:sz w:val="48"/>
      </w:rPr>
      <w:t>Fidaxomicin</w:t>
    </w:r>
  </w:p>
  <w:p w14:paraId="38DF28C4" w14:textId="77777777" w:rsidR="00F64982" w:rsidRDefault="00F649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9119" w14:textId="77777777" w:rsidR="0048656D" w:rsidRDefault="004865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5383">
    <w:abstractNumId w:val="0"/>
  </w:num>
  <w:num w:numId="2" w16cid:durableId="1763068104">
    <w:abstractNumId w:val="9"/>
  </w:num>
  <w:num w:numId="3" w16cid:durableId="1609316793">
    <w:abstractNumId w:val="5"/>
  </w:num>
  <w:num w:numId="4" w16cid:durableId="988365607">
    <w:abstractNumId w:val="3"/>
  </w:num>
  <w:num w:numId="5" w16cid:durableId="2112822768">
    <w:abstractNumId w:val="8"/>
  </w:num>
  <w:num w:numId="6" w16cid:durableId="1665428137">
    <w:abstractNumId w:val="2"/>
  </w:num>
  <w:num w:numId="7" w16cid:durableId="1551182834">
    <w:abstractNumId w:val="7"/>
  </w:num>
  <w:num w:numId="8" w16cid:durableId="281032647">
    <w:abstractNumId w:val="4"/>
  </w:num>
  <w:num w:numId="9" w16cid:durableId="299111304">
    <w:abstractNumId w:val="1"/>
  </w:num>
  <w:num w:numId="10" w16cid:durableId="1555040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NjS2tDAwMjQ1NjBU0lEKTi0uzszPAykwqgUAVwD9uywAAAA="/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33C6B"/>
    <w:rsid w:val="000405D3"/>
    <w:rsid w:val="0004094A"/>
    <w:rsid w:val="00044597"/>
    <w:rsid w:val="000477BE"/>
    <w:rsid w:val="00065A38"/>
    <w:rsid w:val="00072A33"/>
    <w:rsid w:val="0007581F"/>
    <w:rsid w:val="000953D2"/>
    <w:rsid w:val="000B2256"/>
    <w:rsid w:val="000C6CC6"/>
    <w:rsid w:val="000C704A"/>
    <w:rsid w:val="00104C97"/>
    <w:rsid w:val="0011503B"/>
    <w:rsid w:val="001273B3"/>
    <w:rsid w:val="00156FE0"/>
    <w:rsid w:val="00174C48"/>
    <w:rsid w:val="00174C6A"/>
    <w:rsid w:val="001774E7"/>
    <w:rsid w:val="00182EB8"/>
    <w:rsid w:val="001A7AC7"/>
    <w:rsid w:val="001C52AC"/>
    <w:rsid w:val="001E3219"/>
    <w:rsid w:val="001E68E3"/>
    <w:rsid w:val="001F4753"/>
    <w:rsid w:val="001F7B7D"/>
    <w:rsid w:val="002005AF"/>
    <w:rsid w:val="002143A3"/>
    <w:rsid w:val="002333FF"/>
    <w:rsid w:val="00234FB1"/>
    <w:rsid w:val="00256B7C"/>
    <w:rsid w:val="00262B1E"/>
    <w:rsid w:val="0028432D"/>
    <w:rsid w:val="00285AE4"/>
    <w:rsid w:val="002D7403"/>
    <w:rsid w:val="002E5E26"/>
    <w:rsid w:val="003025BC"/>
    <w:rsid w:val="00304296"/>
    <w:rsid w:val="00305016"/>
    <w:rsid w:val="00335246"/>
    <w:rsid w:val="0033565D"/>
    <w:rsid w:val="003479E5"/>
    <w:rsid w:val="0036178C"/>
    <w:rsid w:val="0036325A"/>
    <w:rsid w:val="00370734"/>
    <w:rsid w:val="003B2E05"/>
    <w:rsid w:val="003E1D88"/>
    <w:rsid w:val="003F2692"/>
    <w:rsid w:val="003F318D"/>
    <w:rsid w:val="0040610F"/>
    <w:rsid w:val="0041156E"/>
    <w:rsid w:val="00414036"/>
    <w:rsid w:val="00435583"/>
    <w:rsid w:val="00454847"/>
    <w:rsid w:val="004642E2"/>
    <w:rsid w:val="00467246"/>
    <w:rsid w:val="0048656D"/>
    <w:rsid w:val="00492AB4"/>
    <w:rsid w:val="00494C0F"/>
    <w:rsid w:val="0049622C"/>
    <w:rsid w:val="004B3438"/>
    <w:rsid w:val="004B624B"/>
    <w:rsid w:val="004B6C59"/>
    <w:rsid w:val="004C3096"/>
    <w:rsid w:val="004C4F82"/>
    <w:rsid w:val="004E1D02"/>
    <w:rsid w:val="004F0DB7"/>
    <w:rsid w:val="004F3F20"/>
    <w:rsid w:val="00504FB4"/>
    <w:rsid w:val="0050526A"/>
    <w:rsid w:val="005125E9"/>
    <w:rsid w:val="00530653"/>
    <w:rsid w:val="00541B64"/>
    <w:rsid w:val="00544F5A"/>
    <w:rsid w:val="005524BC"/>
    <w:rsid w:val="00552D0A"/>
    <w:rsid w:val="005530A6"/>
    <w:rsid w:val="0055338C"/>
    <w:rsid w:val="005638EB"/>
    <w:rsid w:val="0057537C"/>
    <w:rsid w:val="00590E29"/>
    <w:rsid w:val="005949F7"/>
    <w:rsid w:val="00596F9A"/>
    <w:rsid w:val="005A7F96"/>
    <w:rsid w:val="005B6C28"/>
    <w:rsid w:val="005C3586"/>
    <w:rsid w:val="005D60B6"/>
    <w:rsid w:val="005E6676"/>
    <w:rsid w:val="005F29C6"/>
    <w:rsid w:val="005F4D2E"/>
    <w:rsid w:val="00610557"/>
    <w:rsid w:val="00612463"/>
    <w:rsid w:val="0062645A"/>
    <w:rsid w:val="006354B6"/>
    <w:rsid w:val="00636DB5"/>
    <w:rsid w:val="00642839"/>
    <w:rsid w:val="006451B6"/>
    <w:rsid w:val="006549F4"/>
    <w:rsid w:val="00664E69"/>
    <w:rsid w:val="00673F6C"/>
    <w:rsid w:val="006777DE"/>
    <w:rsid w:val="00681EC4"/>
    <w:rsid w:val="00686DEE"/>
    <w:rsid w:val="006C656D"/>
    <w:rsid w:val="006D0709"/>
    <w:rsid w:val="006D5714"/>
    <w:rsid w:val="006F4F65"/>
    <w:rsid w:val="006F5387"/>
    <w:rsid w:val="006F7F69"/>
    <w:rsid w:val="007209C6"/>
    <w:rsid w:val="00722B61"/>
    <w:rsid w:val="00737921"/>
    <w:rsid w:val="007600D1"/>
    <w:rsid w:val="0078272D"/>
    <w:rsid w:val="00784975"/>
    <w:rsid w:val="00786146"/>
    <w:rsid w:val="007A314E"/>
    <w:rsid w:val="007A6F09"/>
    <w:rsid w:val="007B7C5A"/>
    <w:rsid w:val="007E3A27"/>
    <w:rsid w:val="007F0381"/>
    <w:rsid w:val="007F1940"/>
    <w:rsid w:val="007F255B"/>
    <w:rsid w:val="00802EF7"/>
    <w:rsid w:val="0080511D"/>
    <w:rsid w:val="00807564"/>
    <w:rsid w:val="00816924"/>
    <w:rsid w:val="00827071"/>
    <w:rsid w:val="00843507"/>
    <w:rsid w:val="00850D44"/>
    <w:rsid w:val="00861DDF"/>
    <w:rsid w:val="00870D1A"/>
    <w:rsid w:val="0088250D"/>
    <w:rsid w:val="00890BC2"/>
    <w:rsid w:val="0089118C"/>
    <w:rsid w:val="008B38C2"/>
    <w:rsid w:val="008B4504"/>
    <w:rsid w:val="008B7669"/>
    <w:rsid w:val="008C05AF"/>
    <w:rsid w:val="008C1686"/>
    <w:rsid w:val="008D12DD"/>
    <w:rsid w:val="008D20B1"/>
    <w:rsid w:val="008E6675"/>
    <w:rsid w:val="008E6974"/>
    <w:rsid w:val="00900E00"/>
    <w:rsid w:val="00925542"/>
    <w:rsid w:val="00926BFC"/>
    <w:rsid w:val="009545AF"/>
    <w:rsid w:val="00983554"/>
    <w:rsid w:val="009B1C7E"/>
    <w:rsid w:val="009C0B84"/>
    <w:rsid w:val="009C144E"/>
    <w:rsid w:val="009E4E25"/>
    <w:rsid w:val="009F1EB7"/>
    <w:rsid w:val="00A00CCB"/>
    <w:rsid w:val="00A100DC"/>
    <w:rsid w:val="00A2016B"/>
    <w:rsid w:val="00A21E9E"/>
    <w:rsid w:val="00A30366"/>
    <w:rsid w:val="00A345A9"/>
    <w:rsid w:val="00A37622"/>
    <w:rsid w:val="00A43812"/>
    <w:rsid w:val="00A44630"/>
    <w:rsid w:val="00A530BE"/>
    <w:rsid w:val="00A7640A"/>
    <w:rsid w:val="00A868A6"/>
    <w:rsid w:val="00A93AAD"/>
    <w:rsid w:val="00AA6B4F"/>
    <w:rsid w:val="00AB10BF"/>
    <w:rsid w:val="00AE19FA"/>
    <w:rsid w:val="00AE4C49"/>
    <w:rsid w:val="00B02DB1"/>
    <w:rsid w:val="00B03A61"/>
    <w:rsid w:val="00B2756A"/>
    <w:rsid w:val="00B33D2C"/>
    <w:rsid w:val="00B574E9"/>
    <w:rsid w:val="00B6473C"/>
    <w:rsid w:val="00B6570D"/>
    <w:rsid w:val="00B773B8"/>
    <w:rsid w:val="00B82671"/>
    <w:rsid w:val="00B92363"/>
    <w:rsid w:val="00B9394A"/>
    <w:rsid w:val="00B97095"/>
    <w:rsid w:val="00BA6044"/>
    <w:rsid w:val="00BB4A54"/>
    <w:rsid w:val="00BC3D19"/>
    <w:rsid w:val="00BC4042"/>
    <w:rsid w:val="00BD2250"/>
    <w:rsid w:val="00BE008B"/>
    <w:rsid w:val="00BE314B"/>
    <w:rsid w:val="00BE3979"/>
    <w:rsid w:val="00BF11AE"/>
    <w:rsid w:val="00BF4058"/>
    <w:rsid w:val="00C112A6"/>
    <w:rsid w:val="00C11458"/>
    <w:rsid w:val="00C21654"/>
    <w:rsid w:val="00C220C6"/>
    <w:rsid w:val="00C35BFE"/>
    <w:rsid w:val="00C676EE"/>
    <w:rsid w:val="00CB3CA3"/>
    <w:rsid w:val="00CB7526"/>
    <w:rsid w:val="00CB7E53"/>
    <w:rsid w:val="00CC7E5F"/>
    <w:rsid w:val="00CD2365"/>
    <w:rsid w:val="00CE1E20"/>
    <w:rsid w:val="00CE69F3"/>
    <w:rsid w:val="00CF56C3"/>
    <w:rsid w:val="00CF5ECC"/>
    <w:rsid w:val="00D027BF"/>
    <w:rsid w:val="00D14350"/>
    <w:rsid w:val="00D216BD"/>
    <w:rsid w:val="00D21A79"/>
    <w:rsid w:val="00D259A7"/>
    <w:rsid w:val="00D27052"/>
    <w:rsid w:val="00D41422"/>
    <w:rsid w:val="00D87B96"/>
    <w:rsid w:val="00D9586E"/>
    <w:rsid w:val="00DB14F4"/>
    <w:rsid w:val="00DB4789"/>
    <w:rsid w:val="00DB700E"/>
    <w:rsid w:val="00DC6CBD"/>
    <w:rsid w:val="00DD7FDB"/>
    <w:rsid w:val="00DE0DAA"/>
    <w:rsid w:val="00DF01F8"/>
    <w:rsid w:val="00DF6D06"/>
    <w:rsid w:val="00E24E3B"/>
    <w:rsid w:val="00E3365F"/>
    <w:rsid w:val="00E363F1"/>
    <w:rsid w:val="00E53F75"/>
    <w:rsid w:val="00E766FF"/>
    <w:rsid w:val="00E86725"/>
    <w:rsid w:val="00E8791A"/>
    <w:rsid w:val="00E9243F"/>
    <w:rsid w:val="00E92C57"/>
    <w:rsid w:val="00EA2F2D"/>
    <w:rsid w:val="00EC0987"/>
    <w:rsid w:val="00EC75B0"/>
    <w:rsid w:val="00ED4386"/>
    <w:rsid w:val="00ED79AA"/>
    <w:rsid w:val="00EE0D0B"/>
    <w:rsid w:val="00EE1581"/>
    <w:rsid w:val="00EE434D"/>
    <w:rsid w:val="00EE449A"/>
    <w:rsid w:val="00EE5875"/>
    <w:rsid w:val="00F000AA"/>
    <w:rsid w:val="00F22976"/>
    <w:rsid w:val="00F233AA"/>
    <w:rsid w:val="00F234F6"/>
    <w:rsid w:val="00F45289"/>
    <w:rsid w:val="00F64982"/>
    <w:rsid w:val="00F757B1"/>
    <w:rsid w:val="00F84C71"/>
    <w:rsid w:val="00F91167"/>
    <w:rsid w:val="00FA6FC5"/>
    <w:rsid w:val="00FB46A5"/>
    <w:rsid w:val="00FE1ABF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11F11383-CD61-4C11-97A6-4709FE2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259A7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BD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g-ba.de/bewertungsverfahren/nutzenbewertung/5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41C32-0790-447D-89EC-4802A3C85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D2B7D-02D7-4CC4-8393-266E02E10763}">
  <ds:schemaRefs>
    <ds:schemaRef ds:uri="fe9ae99a-0496-4898-989f-e27614239e60"/>
    <ds:schemaRef ds:uri="2d076682-27a3-4304-b527-b918986f088e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6999</Characters>
  <Application>Microsoft Office Word</Application>
  <DocSecurity>0</DocSecurity>
  <Lines>148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Johanna Röder</cp:lastModifiedBy>
  <cp:revision>88</cp:revision>
  <cp:lastPrinted>2012-10-10T00:17:00Z</cp:lastPrinted>
  <dcterms:created xsi:type="dcterms:W3CDTF">2023-07-05T23:09:00Z</dcterms:created>
  <dcterms:modified xsi:type="dcterms:W3CDTF">2024-09-25T08:49:00Z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4ed49bbb4b5f15e96efeddf4414efa70657dd68b9c066e55562003185792b065</vt:lpwstr>
  </property>
</Properties>
</file>