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6A03256B" w:rsidR="008E6675" w:rsidRPr="00294FE8" w:rsidRDefault="008E6675" w:rsidP="005638EB">
            <w:pPr>
              <w:rPr>
                <w:rFonts w:ascii="Arial Narrow" w:hAnsi="Arial Narrow"/>
              </w:rPr>
            </w:pPr>
            <w:r w:rsidRPr="00294FE8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294FE8">
              <w:rPr>
                <w:rFonts w:ascii="Arial Narrow" w:hAnsi="Arial Narrow"/>
                <w:sz w:val="22"/>
              </w:rPr>
              <w:t xml:space="preserve">medizinische </w:t>
            </w:r>
            <w:r w:rsidRPr="00294FE8">
              <w:rPr>
                <w:rFonts w:ascii="Arial Narrow" w:hAnsi="Arial Narrow"/>
                <w:sz w:val="22"/>
              </w:rPr>
              <w:t xml:space="preserve">Onkologie e.V. vorformuliert. 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33B5D66E" w:rsidR="008E6675" w:rsidRPr="007F255B" w:rsidRDefault="0017092F" w:rsidP="005638EB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Streptozocin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629D49FC" w:rsidR="008E6675" w:rsidRPr="005638EB" w:rsidRDefault="00C93168" w:rsidP="005638E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Zanosar</w:t>
            </w:r>
            <w:proofErr w:type="spellEnd"/>
            <w:r>
              <w:rPr>
                <w:rFonts w:ascii="Arial Narrow" w:hAnsi="Arial Narrow"/>
                <w:sz w:val="22"/>
              </w:rPr>
              <w:t>®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22D45B8D" w:rsidR="004C4F82" w:rsidRPr="00294FE8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42ACADE4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E523E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7DD0679B" w14:textId="734F7ED1" w:rsidR="00492AB4" w:rsidRPr="00294FE8" w:rsidRDefault="00ED79AA" w:rsidP="00DB14F4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 xml:space="preserve">Bei </w:t>
            </w:r>
            <w:proofErr w:type="gramStart"/>
            <w:r w:rsidR="00C21654" w:rsidRPr="00ED79AA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="00C21654" w:rsidRPr="00ED79AA">
              <w:rPr>
                <w:rFonts w:ascii="Arial Narrow" w:hAnsi="Arial Narrow"/>
                <w:sz w:val="22"/>
                <w:highlight w:val="yellow"/>
              </w:rPr>
              <w:t xml:space="preserve">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17AB1C72" w14:textId="77777777" w:rsidR="008E00BD" w:rsidRPr="008E00BD" w:rsidRDefault="008E00BD" w:rsidP="008E00BD">
            <w:pPr>
              <w:rPr>
                <w:rFonts w:ascii="Arial Narrow" w:hAnsi="Arial Narrow"/>
                <w:sz w:val="22"/>
                <w:u w:val="single"/>
              </w:rPr>
            </w:pPr>
            <w:r w:rsidRPr="008E00BD">
              <w:rPr>
                <w:rFonts w:ascii="Arial Narrow" w:hAnsi="Arial Narrow"/>
                <w:sz w:val="22"/>
                <w:u w:val="single"/>
              </w:rPr>
              <w:t xml:space="preserve">Wirkweise: </w:t>
            </w:r>
          </w:p>
          <w:p w14:paraId="1A6F053A" w14:textId="562094CB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ist eine zu den Substanzklassen der Glucosamine und der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Nitrosoharnstoffe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gehörende und natürlich vorkommende chemische Verbindung, die spezifisch toxisch für die insulinproduzierenden Betazellen in den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Langerhansschen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Inseln der Bauchspeicheldrüse ist. Therapeutisch dient es als Zytostatikum zur Behandlung von neuroendokrinen Tumoren des Pankreas (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pNET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). Hinsichtlich seiner chemischen Struktur enthält es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Methylnitrosoharnstoff</w:t>
            </w:r>
            <w:proofErr w:type="spellEnd"/>
            <w:r w:rsidR="003C1A78">
              <w:rPr>
                <w:rFonts w:ascii="Arial Narrow" w:hAnsi="Arial Narrow"/>
                <w:sz w:val="22"/>
              </w:rPr>
              <w:t xml:space="preserve">, </w:t>
            </w:r>
            <w:r w:rsidR="0070356B">
              <w:rPr>
                <w:rFonts w:ascii="Arial Narrow" w:hAnsi="Arial Narrow"/>
                <w:sz w:val="22"/>
              </w:rPr>
              <w:t>welche</w:t>
            </w:r>
            <w:r w:rsidR="00DC7A5D">
              <w:rPr>
                <w:rFonts w:ascii="Arial Narrow" w:hAnsi="Arial Narrow"/>
                <w:sz w:val="22"/>
              </w:rPr>
              <w:t>r</w:t>
            </w:r>
            <w:r w:rsidR="0070356B">
              <w:rPr>
                <w:rFonts w:ascii="Arial Narrow" w:hAnsi="Arial Narrow"/>
                <w:sz w:val="22"/>
              </w:rPr>
              <w:t xml:space="preserve"> den</w:t>
            </w:r>
            <w:r w:rsidRPr="008E00BD">
              <w:rPr>
                <w:rFonts w:ascii="Arial Narrow" w:hAnsi="Arial Narrow"/>
                <w:sz w:val="22"/>
              </w:rPr>
              <w:t xml:space="preserve"> Einbau von Alkylgruppen in die DNA bewirkt, wodurch die Zellteilung unterbunden wird.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ist damit mutagen. Die selektive Wirkung auf die Betazellen beruht darauf, dass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aufgrund der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Glucosestruktur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durch den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Glucosetransporter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GLUT2, der in hoher Dichte in der Membran von Betazellen vorkommt, in das Zellinnere transportiert wird. In der Zelle erfolgt eine Spaltung zwischen dem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Glucoseanteil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und dem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Methylnitrosoharnstoff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>, der für die DNA-schädigenden Wirkungen verantwortlich ist.</w:t>
            </w:r>
          </w:p>
          <w:p w14:paraId="3028444F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</w:p>
          <w:p w14:paraId="13D1540F" w14:textId="77777777" w:rsidR="008E00BD" w:rsidRPr="008E00BD" w:rsidRDefault="008E00BD" w:rsidP="008E00BD">
            <w:pPr>
              <w:rPr>
                <w:rFonts w:ascii="Arial Narrow" w:hAnsi="Arial Narrow"/>
                <w:sz w:val="22"/>
                <w:u w:val="single"/>
              </w:rPr>
            </w:pPr>
            <w:r w:rsidRPr="008E00BD">
              <w:rPr>
                <w:rFonts w:ascii="Arial Narrow" w:hAnsi="Arial Narrow"/>
                <w:sz w:val="22"/>
                <w:u w:val="single"/>
              </w:rPr>
              <w:t>Evidenzlage:</w:t>
            </w:r>
          </w:p>
          <w:p w14:paraId="60927041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r w:rsidRPr="008E00BD">
              <w:rPr>
                <w:rFonts w:ascii="Arial Narrow" w:hAnsi="Arial Narrow"/>
                <w:sz w:val="22"/>
              </w:rPr>
              <w:t xml:space="preserve">Die Wirksamkeit der Kombination von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und 5-Fluorouracil wurde in klinischen Studien belegt und zeigte bei der Behandlung von neuroendokrinen Tumoren der Bauchspeicheldrüse eine Ansprechrate von 20 bis 40 %. (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Dilz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et al. 2015, Krug et al.  2015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Antonodimitrakis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et al. 2016).</w:t>
            </w:r>
          </w:p>
          <w:p w14:paraId="6CE95F47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</w:p>
          <w:p w14:paraId="4FF915B0" w14:textId="3AF90DB5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r w:rsidRPr="008E00BD">
              <w:rPr>
                <w:rFonts w:ascii="Arial Narrow" w:hAnsi="Arial Narrow"/>
                <w:sz w:val="22"/>
              </w:rPr>
              <w:t>Ältere Studien (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Moertel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et al.1980 und 1992, Eriksson et al. 1990) zeigten Ansprechraten zwischen 45% und 63% für diese Kombinationstherapie. Diese hohen Ansprechraten sind in späteren Studien nicht erreicht worden, was auf striktere Wirksamkeitskriterien zurückzuführen ist.</w:t>
            </w:r>
          </w:p>
          <w:p w14:paraId="21C1D42F" w14:textId="7F8FAA0C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r w:rsidRPr="008E00BD">
              <w:rPr>
                <w:rFonts w:ascii="Arial Narrow" w:hAnsi="Arial Narrow"/>
                <w:sz w:val="22"/>
              </w:rPr>
              <w:t xml:space="preserve">Eine höhere Wirksamkeit der Kombination von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und 5-Fluorouracil vs. der Monotherapie mit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</w:t>
            </w:r>
            <w:r w:rsidR="00B7689E" w:rsidRPr="008E00BD">
              <w:rPr>
                <w:rFonts w:ascii="Arial Narrow" w:hAnsi="Arial Narrow"/>
                <w:sz w:val="22"/>
              </w:rPr>
              <w:t>(Ansprechrate 63% vs. 36%)</w:t>
            </w:r>
            <w:r w:rsidR="00B7689E">
              <w:rPr>
                <w:rFonts w:ascii="Arial Narrow" w:hAnsi="Arial Narrow"/>
                <w:sz w:val="22"/>
              </w:rPr>
              <w:t xml:space="preserve"> </w:t>
            </w:r>
            <w:r w:rsidRPr="008E00BD">
              <w:rPr>
                <w:rFonts w:ascii="Arial Narrow" w:hAnsi="Arial Narrow"/>
                <w:sz w:val="22"/>
              </w:rPr>
              <w:t>konnte ebenfalls belegt werden</w:t>
            </w:r>
            <w:r w:rsidR="00B7689E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B7689E">
              <w:rPr>
                <w:rFonts w:ascii="Arial Narrow" w:hAnsi="Arial Narrow"/>
                <w:sz w:val="22"/>
              </w:rPr>
              <w:t>Moertel</w:t>
            </w:r>
            <w:proofErr w:type="spellEnd"/>
            <w:r w:rsidR="00B7689E">
              <w:rPr>
                <w:rFonts w:ascii="Arial Narrow" w:hAnsi="Arial Narrow"/>
                <w:sz w:val="22"/>
              </w:rPr>
              <w:t xml:space="preserve"> et al., 1980)</w:t>
            </w:r>
            <w:r w:rsidRPr="008E00BD">
              <w:rPr>
                <w:rFonts w:ascii="Arial Narrow" w:hAnsi="Arial Narrow"/>
                <w:sz w:val="22"/>
              </w:rPr>
              <w:t>.</w:t>
            </w:r>
          </w:p>
          <w:p w14:paraId="23F5E159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</w:p>
          <w:p w14:paraId="2AD2D7BE" w14:textId="77777777" w:rsidR="008E00BD" w:rsidRPr="008E00BD" w:rsidRDefault="008E00BD" w:rsidP="008E00BD">
            <w:pPr>
              <w:rPr>
                <w:rFonts w:ascii="Arial Narrow" w:hAnsi="Arial Narrow"/>
                <w:sz w:val="22"/>
                <w:u w:val="single"/>
              </w:rPr>
            </w:pPr>
            <w:r w:rsidRPr="008E00BD">
              <w:rPr>
                <w:rFonts w:ascii="Arial Narrow" w:hAnsi="Arial Narrow"/>
                <w:sz w:val="22"/>
                <w:u w:val="single"/>
              </w:rPr>
              <w:t xml:space="preserve">Dosierung: </w:t>
            </w:r>
          </w:p>
          <w:p w14:paraId="75AB67A4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wird als intravenöse Kurzinfusion (Dauer 30 min – 4 Stunden) verabreicht. Kombinationstherapien mit 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 und 5-FU sind in zwei unterschiedlichen Regimen zugelassen:</w:t>
            </w:r>
          </w:p>
          <w:p w14:paraId="4BB3F3B1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r w:rsidRPr="008E00BD">
              <w:rPr>
                <w:rFonts w:ascii="Arial Narrow" w:hAnsi="Arial Narrow"/>
                <w:sz w:val="22"/>
              </w:rPr>
              <w:lastRenderedPageBreak/>
              <w:t>Sechs-Wochen-Schema (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Moertel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 xml:space="preserve">): 500 mg/m²/Tag, intravenös an 5 aufeinanderfolgenden Tagen alle 6 Wochen, bis zum maximalen Nutzen oder bis eine behandlungslimitierende Toxizität auftritt. In diesem Schema wird keine Dosissteigerung empfohlen. </w:t>
            </w:r>
          </w:p>
          <w:p w14:paraId="5198A38B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  <w:r w:rsidRPr="008E00BD">
              <w:rPr>
                <w:rFonts w:ascii="Arial Narrow" w:hAnsi="Arial Narrow"/>
                <w:sz w:val="22"/>
              </w:rPr>
              <w:t>Drei-Wochen-Schema (</w:t>
            </w:r>
            <w:proofErr w:type="spellStart"/>
            <w:r w:rsidRPr="008E00BD">
              <w:rPr>
                <w:rFonts w:ascii="Arial Narrow" w:hAnsi="Arial Narrow"/>
                <w:sz w:val="22"/>
              </w:rPr>
              <w:t>Upsalla</w:t>
            </w:r>
            <w:proofErr w:type="spellEnd"/>
            <w:r w:rsidRPr="008E00BD">
              <w:rPr>
                <w:rFonts w:ascii="Arial Narrow" w:hAnsi="Arial Narrow"/>
                <w:sz w:val="22"/>
              </w:rPr>
              <w:t>): 500 mg/m²/Tag, intravenös an 5 aufeinanderfolgenden Tagen im ersten Zyklus, anschließend 1.000 mg/m² jede dritte Woche in den folgenden Zyklen.</w:t>
            </w:r>
          </w:p>
          <w:p w14:paraId="67C6E7F5" w14:textId="77777777" w:rsidR="008E00BD" w:rsidRPr="008E00BD" w:rsidRDefault="008E00BD" w:rsidP="008E00BD">
            <w:pPr>
              <w:rPr>
                <w:rFonts w:ascii="Arial Narrow" w:hAnsi="Arial Narrow"/>
                <w:sz w:val="22"/>
              </w:rPr>
            </w:pPr>
          </w:p>
          <w:p w14:paraId="0AF79188" w14:textId="54BD8163" w:rsidR="00DB14F4" w:rsidRPr="005638EB" w:rsidRDefault="008E00BD" w:rsidP="008E00BD">
            <w:pPr>
              <w:rPr>
                <w:rFonts w:ascii="Arial Narrow" w:hAnsi="Arial Narrow"/>
                <w:lang w:val="de-CH"/>
              </w:rPr>
            </w:pPr>
            <w:r w:rsidRPr="008E00BD">
              <w:rPr>
                <w:rFonts w:ascii="Arial Narrow" w:hAnsi="Arial Narrow"/>
                <w:sz w:val="22"/>
              </w:rPr>
              <w:t>Eine Einzeldosis von 1.500 mg/m² Körperoberfläche sollte nicht überschritten werden.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4C99F8BB" w:rsidR="00CC7E5F" w:rsidRPr="006354B6" w:rsidRDefault="00474B5A" w:rsidP="00474B5A">
            <w:pPr>
              <w:rPr>
                <w:rFonts w:ascii="Arial Narrow" w:hAnsi="Arial Narrow"/>
                <w:sz w:val="22"/>
              </w:rPr>
            </w:pPr>
            <w:r w:rsidRPr="001B7E3C">
              <w:rPr>
                <w:rFonts w:ascii="Arial Narrow" w:hAnsi="Arial Narrow"/>
                <w:sz w:val="22"/>
              </w:rPr>
              <w:t>6-00b.h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108BF84A" w14:textId="77777777" w:rsidR="003B56E9" w:rsidRDefault="00156A1D" w:rsidP="00C766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Ergänzende Kodes für </w:t>
            </w:r>
            <w:r w:rsidR="003B56E9">
              <w:rPr>
                <w:rFonts w:ascii="Arial Narrow" w:hAnsi="Arial Narrow"/>
                <w:sz w:val="22"/>
              </w:rPr>
              <w:t>das verwendete Chemotherapie-Schema:</w:t>
            </w:r>
          </w:p>
          <w:p w14:paraId="2A65E6BA" w14:textId="77777777" w:rsidR="001C66D7" w:rsidRDefault="001C66D7" w:rsidP="00C76650">
            <w:pPr>
              <w:rPr>
                <w:rFonts w:ascii="Arial Narrow" w:hAnsi="Arial Narrow"/>
                <w:sz w:val="22"/>
              </w:rPr>
            </w:pPr>
          </w:p>
          <w:p w14:paraId="7690E7B9" w14:textId="43578B68" w:rsidR="00C76650" w:rsidRPr="00B4188E" w:rsidRDefault="00C76650" w:rsidP="00C76650">
            <w:pPr>
              <w:rPr>
                <w:rFonts w:ascii="Arial Narrow" w:hAnsi="Arial Narrow"/>
                <w:sz w:val="22"/>
              </w:rPr>
            </w:pPr>
            <w:r w:rsidRPr="00B4188E">
              <w:rPr>
                <w:rFonts w:ascii="Arial Narrow" w:hAnsi="Arial Narrow"/>
                <w:sz w:val="22"/>
              </w:rPr>
              <w:t>Monotherapie, 2 mögliche Schemata:</w:t>
            </w:r>
          </w:p>
          <w:p w14:paraId="301697F9" w14:textId="77777777" w:rsidR="00C76650" w:rsidRPr="00B4188E" w:rsidRDefault="00C76650" w:rsidP="00C76650">
            <w:pPr>
              <w:rPr>
                <w:rFonts w:ascii="Arial Narrow" w:hAnsi="Arial Narrow"/>
                <w:sz w:val="22"/>
              </w:rPr>
            </w:pPr>
            <w:r w:rsidRPr="00B4188E">
              <w:rPr>
                <w:rFonts w:ascii="Arial Narrow" w:hAnsi="Arial Narrow"/>
                <w:sz w:val="22"/>
              </w:rPr>
              <w:t>8-542.51 für Chemotherapie, 5 Tage, 1 Substanz oder 8-542.11 für Chemotherapie, 1 Tag, 1 Substanz</w:t>
            </w:r>
          </w:p>
          <w:p w14:paraId="6DD0F75B" w14:textId="77777777" w:rsidR="00C76650" w:rsidRPr="00B4188E" w:rsidRDefault="00C76650" w:rsidP="00C76650">
            <w:pPr>
              <w:rPr>
                <w:rFonts w:ascii="Arial Narrow" w:hAnsi="Arial Narrow"/>
                <w:sz w:val="22"/>
              </w:rPr>
            </w:pPr>
          </w:p>
          <w:p w14:paraId="04AE5E57" w14:textId="77777777" w:rsidR="00C76650" w:rsidRPr="00B4188E" w:rsidRDefault="00C76650" w:rsidP="00C76650">
            <w:pPr>
              <w:rPr>
                <w:rFonts w:ascii="Arial Narrow" w:hAnsi="Arial Narrow"/>
                <w:sz w:val="22"/>
              </w:rPr>
            </w:pPr>
            <w:r w:rsidRPr="00B4188E">
              <w:rPr>
                <w:rFonts w:ascii="Arial Narrow" w:hAnsi="Arial Narrow"/>
                <w:sz w:val="22"/>
              </w:rPr>
              <w:t>Kombinationstherapie:</w:t>
            </w:r>
          </w:p>
          <w:p w14:paraId="48201DB1" w14:textId="31F08A0A" w:rsidR="004C4F82" w:rsidRPr="00AD4C31" w:rsidRDefault="00C76650" w:rsidP="00C76650">
            <w:pPr>
              <w:rPr>
                <w:rFonts w:ascii="Arial Narrow" w:hAnsi="Arial Narrow"/>
                <w:sz w:val="22"/>
              </w:rPr>
            </w:pPr>
            <w:r w:rsidRPr="00B4188E">
              <w:rPr>
                <w:rFonts w:ascii="Arial Narrow" w:hAnsi="Arial Narrow"/>
                <w:sz w:val="22"/>
              </w:rPr>
              <w:t>8-542.52 für Chemotherapie, 5 Tage, 2 Substanzen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06B75B1" w14:textId="13EAABE9" w:rsidR="008E6675" w:rsidRPr="007F255B" w:rsidRDefault="00351E6A" w:rsidP="00C1145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72DE1">
              <w:rPr>
                <w:rFonts w:ascii="Arial Narrow" w:hAnsi="Arial Narrow"/>
                <w:sz w:val="22"/>
                <w:szCs w:val="22"/>
              </w:rPr>
              <w:t>Streptozocin</w:t>
            </w:r>
            <w:proofErr w:type="spellEnd"/>
            <w:r w:rsidRPr="00E72DE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D221D" w:rsidRPr="00AD221D">
              <w:rPr>
                <w:rFonts w:ascii="Arial Narrow" w:hAnsi="Arial Narrow"/>
                <w:sz w:val="22"/>
                <w:szCs w:val="22"/>
              </w:rPr>
              <w:t>wird angewendet zur systemischen Behandlung von erwachsenen Patienten mit inoperablen, fortgeschrittenen oder metastasierten, progressiven und/oder symptomatischen, gut differenzierten, neuroendokrinen Pankreastumoren (G1 oder G2), in Kombination mit 5-Fluorouracil (siehe Abschnitt 5.1).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39F617CB" w:rsidR="008E6675" w:rsidRPr="00843117" w:rsidRDefault="00176E3D" w:rsidP="00E71E5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Streptozocin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43117">
              <w:rPr>
                <w:rFonts w:ascii="Arial Narrow" w:hAnsi="Arial Narrow"/>
                <w:sz w:val="22"/>
                <w:szCs w:val="22"/>
              </w:rPr>
              <w:t>ergänzt die bestehenden Methoden</w:t>
            </w:r>
            <w:r w:rsidR="00B261DA">
              <w:rPr>
                <w:rFonts w:ascii="Arial Narrow" w:hAnsi="Arial Narrow"/>
                <w:sz w:val="22"/>
                <w:szCs w:val="22"/>
              </w:rPr>
              <w:t xml:space="preserve">, wie beispielsweise </w:t>
            </w:r>
            <w:r w:rsidR="00E71E55" w:rsidRPr="000F1C91">
              <w:rPr>
                <w:rFonts w:ascii="Arial Narrow" w:hAnsi="Arial Narrow"/>
                <w:sz w:val="22"/>
                <w:szCs w:val="22"/>
              </w:rPr>
              <w:t>Somatostatin-Analoga (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Octreotid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Lanreotid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),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Inteferon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-alpha,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mTOR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>-Inhibitor (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Everolimus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>) und Tyrosinkinase-Inhibitor (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Sunitinib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).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Diazoxid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Octreotid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 und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Lanreotid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 (Somatostatin-Analoga), Verapamil und Phenytoin und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Everolimus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 werden eingesetzt, um </w:t>
            </w:r>
            <w:proofErr w:type="spellStart"/>
            <w:r w:rsidR="00E71E55" w:rsidRPr="000F1C91">
              <w:rPr>
                <w:rFonts w:ascii="Arial Narrow" w:hAnsi="Arial Narrow"/>
                <w:sz w:val="22"/>
                <w:szCs w:val="22"/>
              </w:rPr>
              <w:t>Insulinome</w:t>
            </w:r>
            <w:proofErr w:type="spellEnd"/>
            <w:r w:rsidR="00E71E55" w:rsidRPr="000F1C91">
              <w:rPr>
                <w:rFonts w:ascii="Arial Narrow" w:hAnsi="Arial Narrow"/>
                <w:sz w:val="22"/>
                <w:szCs w:val="22"/>
              </w:rPr>
              <w:t xml:space="preserve"> zu behandeln.</w:t>
            </w:r>
            <w:r w:rsidR="00E71E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1E55" w:rsidRPr="0027272C">
              <w:rPr>
                <w:rFonts w:ascii="Arial Narrow" w:hAnsi="Arial Narrow"/>
                <w:sz w:val="22"/>
                <w:szCs w:val="22"/>
              </w:rPr>
              <w:t xml:space="preserve">Häufig werden die Therapieoptionen </w:t>
            </w:r>
            <w:proofErr w:type="gramStart"/>
            <w:r w:rsidR="00E71E55" w:rsidRPr="0027272C">
              <w:rPr>
                <w:rFonts w:ascii="Arial Narrow" w:hAnsi="Arial Narrow"/>
                <w:sz w:val="22"/>
                <w:szCs w:val="22"/>
              </w:rPr>
              <w:t>sequentiell</w:t>
            </w:r>
            <w:proofErr w:type="gramEnd"/>
            <w:r w:rsidR="00E71E55" w:rsidRPr="0027272C">
              <w:rPr>
                <w:rFonts w:ascii="Arial Narrow" w:hAnsi="Arial Narrow"/>
                <w:sz w:val="22"/>
                <w:szCs w:val="22"/>
              </w:rPr>
              <w:t xml:space="preserve"> nach Versagen der</w:t>
            </w:r>
            <w:r w:rsidR="0084311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1E55" w:rsidRPr="0027272C">
              <w:rPr>
                <w:rFonts w:ascii="Arial Narrow" w:hAnsi="Arial Narrow"/>
                <w:sz w:val="22"/>
                <w:szCs w:val="22"/>
              </w:rPr>
              <w:t>vorangegangenen Therapielinie eingesetzt</w:t>
            </w:r>
            <w:r w:rsidR="00D96F0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B1FDB47" w14:textId="4DD8412A" w:rsidR="008E6675" w:rsidRPr="00B11478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36325A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>
              <w:rPr>
                <w:rFonts w:ascii="Arial Narrow" w:hAnsi="Arial Narrow"/>
                <w:sz w:val="22"/>
                <w:szCs w:val="22"/>
              </w:rPr>
              <w:t xml:space="preserve">n nach §6 Abs. 2 </w:t>
            </w:r>
            <w:proofErr w:type="spellStart"/>
            <w:r w:rsidR="00C11458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11458">
              <w:rPr>
                <w:rFonts w:ascii="Arial Narrow" w:hAnsi="Arial Narrow"/>
                <w:sz w:val="22"/>
                <w:szCs w:val="22"/>
              </w:rPr>
              <w:t xml:space="preserve"> für 202</w:t>
            </w:r>
            <w:r w:rsidR="007A3902">
              <w:rPr>
                <w:rFonts w:ascii="Arial Narrow" w:hAnsi="Arial Narrow"/>
                <w:sz w:val="22"/>
                <w:szCs w:val="22"/>
              </w:rPr>
              <w:t>4</w:t>
            </w:r>
            <w:r w:rsidRPr="0036325A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proofErr w:type="spellStart"/>
            <w:r w:rsidR="00D96F0C">
              <w:rPr>
                <w:rFonts w:ascii="Arial Narrow" w:hAnsi="Arial Narrow"/>
                <w:sz w:val="22"/>
                <w:szCs w:val="22"/>
              </w:rPr>
              <w:t>Streptozocin</w:t>
            </w:r>
            <w:proofErr w:type="spellEnd"/>
            <w:r w:rsidRPr="0036325A">
              <w:rPr>
                <w:rFonts w:ascii="Arial Narrow" w:hAnsi="Arial Narrow"/>
                <w:sz w:val="22"/>
                <w:szCs w:val="22"/>
              </w:rPr>
              <w:t xml:space="preserve"> den </w:t>
            </w:r>
            <w:r w:rsidRPr="00C5750A">
              <w:rPr>
                <w:rFonts w:ascii="Arial Narrow" w:hAnsi="Arial Narrow"/>
                <w:sz w:val="22"/>
                <w:szCs w:val="22"/>
              </w:rPr>
              <w:t xml:space="preserve">Status </w:t>
            </w:r>
            <w:r w:rsidR="00E80BC3" w:rsidRPr="00C5750A">
              <w:rPr>
                <w:rFonts w:ascii="Arial Narrow" w:hAnsi="Arial Narrow"/>
                <w:sz w:val="22"/>
                <w:szCs w:val="22"/>
              </w:rPr>
              <w:t>1</w:t>
            </w:r>
            <w:r w:rsidR="00044597" w:rsidRPr="00C5750A">
              <w:rPr>
                <w:rFonts w:ascii="Arial Narrow" w:hAnsi="Arial Narrow"/>
                <w:sz w:val="22"/>
                <w:szCs w:val="22"/>
              </w:rPr>
              <w:t>.</w:t>
            </w:r>
            <w:r w:rsidR="00AB4324" w:rsidRPr="00C5750A">
              <w:rPr>
                <w:rFonts w:ascii="Arial Narrow" w:hAnsi="Arial Narrow"/>
                <w:sz w:val="22"/>
                <w:szCs w:val="22"/>
              </w:rPr>
              <w:t xml:space="preserve"> Anzahl </w:t>
            </w:r>
            <w:r w:rsidR="0078275F" w:rsidRPr="00C5750A">
              <w:rPr>
                <w:rFonts w:ascii="Arial Narrow" w:hAnsi="Arial Narrow"/>
                <w:sz w:val="22"/>
                <w:szCs w:val="22"/>
              </w:rPr>
              <w:t>der anfragenden Krankenhäuser</w:t>
            </w:r>
            <w:r w:rsidR="0078275F" w:rsidRPr="00284CE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84CE4" w:rsidRPr="004F11A8">
              <w:rPr>
                <w:rFonts w:ascii="Arial Narrow" w:hAnsi="Arial Narrow"/>
                <w:sz w:val="22"/>
                <w:szCs w:val="22"/>
              </w:rPr>
              <w:t>432</w:t>
            </w:r>
            <w:r w:rsidR="0078275F" w:rsidRPr="004F11A8">
              <w:rPr>
                <w:rFonts w:ascii="Arial Narrow" w:hAnsi="Arial Narrow"/>
                <w:sz w:val="22"/>
                <w:szCs w:val="22"/>
              </w:rPr>
              <w:t xml:space="preserve"> (Position </w:t>
            </w:r>
            <w:r w:rsidR="00284CE4" w:rsidRPr="004F11A8">
              <w:rPr>
                <w:rFonts w:ascii="Arial Narrow" w:hAnsi="Arial Narrow"/>
                <w:sz w:val="22"/>
                <w:szCs w:val="22"/>
              </w:rPr>
              <w:t>48</w:t>
            </w:r>
            <w:r w:rsidR="0078275F" w:rsidRPr="004F11A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7C804EC3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66B8470B" w:rsidR="00D14350" w:rsidRPr="00C112A6" w:rsidRDefault="002179C2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6044">
              <w:rPr>
                <w:rFonts w:ascii="Arial Narrow" w:hAnsi="Arial Narrow"/>
                <w:sz w:val="22"/>
                <w:szCs w:val="22"/>
              </w:rPr>
              <w:t>Dezember</w:t>
            </w:r>
            <w:r>
              <w:rPr>
                <w:rFonts w:ascii="Arial Narrow" w:hAnsi="Arial Narrow"/>
                <w:sz w:val="22"/>
                <w:szCs w:val="22"/>
              </w:rPr>
              <w:t xml:space="preserve"> 2018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21D9A730" w:rsidR="00044597" w:rsidRPr="00C112A6" w:rsidRDefault="00393E40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93583C">
              <w:rPr>
                <w:rFonts w:ascii="Arial Narrow" w:hAnsi="Arial Narrow"/>
                <w:sz w:val="22"/>
              </w:rPr>
              <w:t>14.08.</w:t>
            </w:r>
            <w:r w:rsidR="00C57C1D" w:rsidRPr="0093583C">
              <w:rPr>
                <w:rFonts w:ascii="Arial Narrow" w:hAnsi="Arial Narrow"/>
                <w:sz w:val="22"/>
              </w:rPr>
              <w:t>2018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2393C097" w:rsidR="00C112A6" w:rsidRPr="005638EB" w:rsidRDefault="00891F14" w:rsidP="00C112A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Streptozocin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Pr="00F000AA">
              <w:rPr>
                <w:rFonts w:ascii="Arial Narrow" w:hAnsi="Arial Narrow"/>
                <w:sz w:val="22"/>
              </w:rPr>
              <w:t xml:space="preserve">wird schätzungsweise in </w:t>
            </w:r>
            <w:r w:rsidRPr="00442467">
              <w:rPr>
                <w:rFonts w:ascii="Arial Narrow" w:hAnsi="Arial Narrow"/>
                <w:sz w:val="22"/>
              </w:rPr>
              <w:t>ca</w:t>
            </w:r>
            <w:r w:rsidR="00284CE4">
              <w:rPr>
                <w:rFonts w:ascii="Arial Narrow" w:hAnsi="Arial Narrow"/>
                <w:sz w:val="22"/>
              </w:rPr>
              <w:t xml:space="preserve">. </w:t>
            </w:r>
            <w:r w:rsidR="00284CE4" w:rsidRPr="004F11A8">
              <w:rPr>
                <w:rFonts w:ascii="Arial Narrow" w:hAnsi="Arial Narrow"/>
                <w:sz w:val="22"/>
              </w:rPr>
              <w:t>430</w:t>
            </w:r>
            <w:r w:rsidRPr="004F11A8">
              <w:rPr>
                <w:rFonts w:ascii="Arial Narrow" w:hAnsi="Arial Narrow"/>
                <w:sz w:val="22"/>
              </w:rPr>
              <w:t xml:space="preserve"> K</w:t>
            </w:r>
            <w:r w:rsidRPr="00442467">
              <w:rPr>
                <w:rFonts w:ascii="Arial Narrow" w:hAnsi="Arial Narrow"/>
                <w:sz w:val="22"/>
              </w:rPr>
              <w:t xml:space="preserve">liniken in Deutschland eingesetzt (Schätzungen aufgrund der NUB-Anfragen </w:t>
            </w:r>
            <w:r>
              <w:rPr>
                <w:rFonts w:ascii="Arial Narrow" w:hAnsi="Arial Narrow"/>
                <w:sz w:val="22"/>
              </w:rPr>
              <w:t>des Vorjahres</w:t>
            </w:r>
            <w:r w:rsidRPr="00442467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6C507185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AE4EAE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E4EAE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129FE181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E4EAE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3EF04803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E4EAE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6CEA64FD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AE4EAE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33B8D13E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Sachkosten:</w:t>
            </w:r>
          </w:p>
          <w:p w14:paraId="54401196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Durch die Gabe von </w:t>
            </w:r>
            <w:proofErr w:type="spellStart"/>
            <w:r w:rsidRPr="00EF7EE2">
              <w:rPr>
                <w:rFonts w:ascii="Arial Narrow" w:hAnsi="Arial Narrow"/>
                <w:sz w:val="22"/>
                <w:szCs w:val="22"/>
              </w:rPr>
              <w:t>Streptozotozin</w:t>
            </w:r>
            <w:proofErr w:type="spellEnd"/>
            <w:r w:rsidRPr="00EF7EE2">
              <w:rPr>
                <w:rFonts w:ascii="Arial Narrow" w:hAnsi="Arial Narrow"/>
                <w:sz w:val="22"/>
                <w:szCs w:val="22"/>
              </w:rPr>
              <w:t xml:space="preserve"> entstehen folgende Zusatzkosten:</w:t>
            </w:r>
          </w:p>
          <w:p w14:paraId="38EF8E12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Packungsgröße: 1g Pulver für ein Konzentrat zur Herstellung einer Infusionslösung </w:t>
            </w:r>
          </w:p>
          <w:p w14:paraId="592A1590" w14:textId="4CF575DE" w:rsidR="002D57D5" w:rsidRPr="00EF7EE2" w:rsidRDefault="002D57D5" w:rsidP="00EF7EE2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Preis pro </w:t>
            </w:r>
            <w:r w:rsidRPr="004F11A8">
              <w:rPr>
                <w:rFonts w:ascii="Arial Narrow" w:hAnsi="Arial Narrow"/>
                <w:sz w:val="22"/>
                <w:szCs w:val="22"/>
              </w:rPr>
              <w:t>Packung</w:t>
            </w:r>
            <w:r w:rsidR="00987123" w:rsidRPr="004F11A8">
              <w:rPr>
                <w:rFonts w:ascii="Arial Narrow" w:hAnsi="Arial Narrow"/>
                <w:sz w:val="22"/>
                <w:szCs w:val="22"/>
              </w:rPr>
              <w:t xml:space="preserve"> 908</w:t>
            </w:r>
            <w:r w:rsidR="003168C2" w:rsidRPr="004F11A8">
              <w:rPr>
                <w:rFonts w:ascii="Arial Narrow" w:hAnsi="Arial Narrow"/>
                <w:sz w:val="22"/>
                <w:szCs w:val="22"/>
              </w:rPr>
              <w:t>,59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 (</w:t>
            </w:r>
            <w:r w:rsidR="00AA68F5" w:rsidRPr="004F11A8">
              <w:rPr>
                <w:rFonts w:ascii="Arial Narrow" w:hAnsi="Arial Narrow"/>
                <w:sz w:val="22"/>
                <w:szCs w:val="22"/>
              </w:rPr>
              <w:t xml:space="preserve">laut Rote Liste </w:t>
            </w:r>
            <w:r w:rsidRPr="004F11A8">
              <w:rPr>
                <w:rFonts w:ascii="Arial Narrow" w:hAnsi="Arial Narrow"/>
                <w:sz w:val="22"/>
                <w:szCs w:val="22"/>
              </w:rPr>
              <w:t>AVP</w:t>
            </w:r>
            <w:r w:rsidR="00AA68F5" w:rsidRPr="004F11A8">
              <w:rPr>
                <w:rFonts w:ascii="Arial Narrow" w:hAnsi="Arial Narrow"/>
                <w:sz w:val="22"/>
                <w:szCs w:val="22"/>
              </w:rPr>
              <w:t xml:space="preserve"> / UVP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inkl. MwSt.</w:t>
            </w:r>
            <w:r w:rsidR="00AB33E0" w:rsidRPr="004F11A8">
              <w:rPr>
                <w:rFonts w:ascii="Arial Narrow" w:hAnsi="Arial Narrow"/>
                <w:sz w:val="22"/>
                <w:szCs w:val="22"/>
              </w:rPr>
              <w:t xml:space="preserve">, Preis Stand </w:t>
            </w:r>
            <w:r w:rsidR="00886A68" w:rsidRPr="004F11A8">
              <w:rPr>
                <w:rFonts w:ascii="Arial Narrow" w:hAnsi="Arial Narrow"/>
                <w:sz w:val="22"/>
                <w:szCs w:val="22"/>
              </w:rPr>
              <w:t>15</w:t>
            </w:r>
            <w:r w:rsidR="003168C2" w:rsidRPr="004F11A8">
              <w:rPr>
                <w:rFonts w:ascii="Arial Narrow" w:hAnsi="Arial Narrow"/>
                <w:sz w:val="22"/>
                <w:szCs w:val="22"/>
              </w:rPr>
              <w:t>.09.2024</w:t>
            </w:r>
            <w:r w:rsidRPr="004F11A8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3E8A2B06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A16CBB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Sechs-Wochen-Schemata:</w:t>
            </w:r>
          </w:p>
          <w:p w14:paraId="2CD51CD3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Therapieschema: 5 Tage a 500 mg / m²</w:t>
            </w:r>
          </w:p>
          <w:p w14:paraId="06BF8ACB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1,8 m² Körperoberfläche x 500 mg / m² = 900 mg </w:t>
            </w:r>
          </w:p>
          <w:p w14:paraId="7D3C53CD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900 mg x 5 Tage = 4 500 mg</w:t>
            </w:r>
          </w:p>
          <w:p w14:paraId="0E67D94F" w14:textId="70E2485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4 500 mg </w:t>
            </w:r>
            <w:r w:rsidRPr="004F11A8">
              <w:rPr>
                <w:rFonts w:ascii="Arial Narrow" w:hAnsi="Arial Narrow"/>
                <w:sz w:val="22"/>
                <w:szCs w:val="22"/>
              </w:rPr>
              <w:t>x 0,</w:t>
            </w:r>
            <w:r w:rsidR="003D4703" w:rsidRPr="004F11A8">
              <w:rPr>
                <w:rFonts w:ascii="Arial Narrow" w:hAnsi="Arial Narrow"/>
                <w:sz w:val="22"/>
                <w:szCs w:val="22"/>
              </w:rPr>
              <w:t>90859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€/mg = </w:t>
            </w:r>
            <w:r w:rsidR="00A822A8" w:rsidRPr="004F11A8">
              <w:rPr>
                <w:rFonts w:ascii="Arial Narrow" w:hAnsi="Arial Narrow"/>
                <w:sz w:val="22"/>
                <w:szCs w:val="22"/>
              </w:rPr>
              <w:t>4088,66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 pro Zyklus</w:t>
            </w:r>
          </w:p>
          <w:p w14:paraId="41086CAA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Der Therapiezyklus wiederholt sich alle sechs Wochen.</w:t>
            </w:r>
          </w:p>
          <w:p w14:paraId="7B3D7BBD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C0F488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Drei-Wochen-Schemata:</w:t>
            </w:r>
          </w:p>
          <w:p w14:paraId="0571A40E" w14:textId="2732D396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Therapieschema: Induktionsphase 5 Tage a 500 mg / m², (4 500 </w:t>
            </w:r>
            <w:r w:rsidRPr="004F11A8">
              <w:rPr>
                <w:rFonts w:ascii="Arial Narrow" w:hAnsi="Arial Narrow"/>
                <w:sz w:val="22"/>
                <w:szCs w:val="22"/>
              </w:rPr>
              <w:t>mg x 0,</w:t>
            </w:r>
            <w:r w:rsidR="00A822A8" w:rsidRPr="004F11A8">
              <w:rPr>
                <w:rFonts w:ascii="Arial Narrow" w:hAnsi="Arial Narrow"/>
                <w:sz w:val="22"/>
                <w:szCs w:val="22"/>
              </w:rPr>
              <w:t>90859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€/mg = </w:t>
            </w:r>
            <w:r w:rsidR="00A822A8" w:rsidRPr="004F11A8">
              <w:rPr>
                <w:rFonts w:ascii="Arial Narrow" w:hAnsi="Arial Narrow"/>
                <w:sz w:val="22"/>
                <w:szCs w:val="22"/>
              </w:rPr>
              <w:t>4088,66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€),</w:t>
            </w:r>
          </w:p>
          <w:p w14:paraId="73AF6BB9" w14:textId="7E187EF5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 xml:space="preserve">dann 1 Tag </w:t>
            </w:r>
            <w:r w:rsidR="005330D5" w:rsidRPr="004F11A8">
              <w:rPr>
                <w:rFonts w:ascii="Arial Narrow" w:hAnsi="Arial Narrow"/>
                <w:sz w:val="22"/>
                <w:szCs w:val="22"/>
              </w:rPr>
              <w:t xml:space="preserve">à </w:t>
            </w:r>
            <w:r w:rsidRPr="004F11A8">
              <w:rPr>
                <w:rFonts w:ascii="Arial Narrow" w:hAnsi="Arial Narrow"/>
                <w:sz w:val="22"/>
                <w:szCs w:val="22"/>
              </w:rPr>
              <w:t>1 000 mg / m² (1,8 m² Körperoberfläche x 1 000 mg / m² = 1 800 mg)</w:t>
            </w:r>
          </w:p>
          <w:p w14:paraId="2BC49E37" w14:textId="21F2E310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>1 800 mg x 0,</w:t>
            </w:r>
            <w:r w:rsidR="00A822A8" w:rsidRPr="004F11A8">
              <w:rPr>
                <w:rFonts w:ascii="Arial Narrow" w:hAnsi="Arial Narrow"/>
                <w:sz w:val="22"/>
                <w:szCs w:val="22"/>
              </w:rPr>
              <w:t>90859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€/mg = 1.</w:t>
            </w:r>
            <w:r w:rsidR="00431542" w:rsidRPr="004F11A8">
              <w:rPr>
                <w:rFonts w:ascii="Arial Narrow" w:hAnsi="Arial Narrow"/>
                <w:sz w:val="22"/>
                <w:szCs w:val="22"/>
              </w:rPr>
              <w:t>635,46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 für anschließenden Zyklus-</w:t>
            </w:r>
          </w:p>
          <w:p w14:paraId="30F65DE7" w14:textId="77777777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>Der Therapiezyklus wiederholt sich nach drei Wochen.</w:t>
            </w:r>
          </w:p>
          <w:p w14:paraId="767D2A0D" w14:textId="77777777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C32B56" w14:textId="73A1A1EF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 xml:space="preserve">Die zusätzlichen Kosten im stationären Aufenthalt belaufen sich somit auf ca. </w:t>
            </w:r>
            <w:r w:rsidR="00E975C5" w:rsidRPr="004F11A8">
              <w:rPr>
                <w:rFonts w:ascii="Arial Narrow" w:hAnsi="Arial Narrow"/>
                <w:sz w:val="22"/>
                <w:szCs w:val="22"/>
              </w:rPr>
              <w:t>4089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 (ca. </w:t>
            </w:r>
            <w:r w:rsidR="00D416C7" w:rsidRPr="004F11A8">
              <w:rPr>
                <w:rFonts w:ascii="Arial Narrow" w:hAnsi="Arial Narrow"/>
                <w:sz w:val="22"/>
                <w:szCs w:val="22"/>
              </w:rPr>
              <w:t>818</w:t>
            </w:r>
            <w:r w:rsidRPr="004F11A8">
              <w:rPr>
                <w:rFonts w:ascii="Arial Narrow" w:hAnsi="Arial Narrow"/>
                <w:sz w:val="22"/>
                <w:szCs w:val="22"/>
              </w:rPr>
              <w:t>€ pro Applikation).</w:t>
            </w:r>
          </w:p>
          <w:p w14:paraId="6C624A65" w14:textId="77777777" w:rsidR="002D57D5" w:rsidRPr="004F11A8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>Packungsgröße: 1g Pulver für ein Konzentrat zur Herstellung einer Infusionslösung</w:t>
            </w:r>
          </w:p>
          <w:p w14:paraId="11CD01D3" w14:textId="5AA97BCB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4F11A8">
              <w:rPr>
                <w:rFonts w:ascii="Arial Narrow" w:hAnsi="Arial Narrow"/>
                <w:sz w:val="22"/>
                <w:szCs w:val="22"/>
              </w:rPr>
              <w:t xml:space="preserve">Preis pro Packung </w:t>
            </w:r>
            <w:r w:rsidR="00C76F03" w:rsidRPr="004F11A8">
              <w:rPr>
                <w:rFonts w:ascii="Arial Narrow" w:hAnsi="Arial Narrow"/>
                <w:sz w:val="22"/>
                <w:szCs w:val="22"/>
              </w:rPr>
              <w:t>908,59</w:t>
            </w:r>
            <w:r w:rsidRPr="004F11A8">
              <w:rPr>
                <w:rFonts w:ascii="Arial Narrow" w:hAnsi="Arial Narrow"/>
                <w:sz w:val="22"/>
                <w:szCs w:val="22"/>
              </w:rPr>
              <w:t xml:space="preserve"> € (inkl. gesetzlicher MwSt.)</w:t>
            </w:r>
          </w:p>
          <w:p w14:paraId="00CBBC52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043FE7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 xml:space="preserve">Personalkosten </w:t>
            </w:r>
          </w:p>
          <w:p w14:paraId="7514378A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pro Tag:</w:t>
            </w:r>
          </w:p>
          <w:p w14:paraId="23A39E6F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für die Zubereitung: ca. 10 Minuten (MTD Apotheke)</w:t>
            </w:r>
          </w:p>
          <w:p w14:paraId="5701DCC4" w14:textId="77777777" w:rsidR="002D57D5" w:rsidRPr="00EF7EE2" w:rsidRDefault="002D57D5" w:rsidP="002D57D5">
            <w:pPr>
              <w:rPr>
                <w:rFonts w:ascii="Arial Narrow" w:hAnsi="Arial Narrow"/>
                <w:sz w:val="22"/>
                <w:szCs w:val="22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für die Applikation: ca. 5 Minuten (ÄD) und ca. 5 Minuten (PD)</w:t>
            </w:r>
          </w:p>
          <w:p w14:paraId="7D03D20B" w14:textId="7D7F403D" w:rsidR="00156FE0" w:rsidRPr="00EF7EE2" w:rsidRDefault="002D57D5" w:rsidP="002D57D5">
            <w:pPr>
              <w:rPr>
                <w:rFonts w:ascii="Arial Narrow" w:hAnsi="Arial Narrow"/>
                <w:color w:val="548DD4" w:themeColor="text2" w:themeTint="99"/>
              </w:rPr>
            </w:pPr>
            <w:r w:rsidRPr="00EF7EE2">
              <w:rPr>
                <w:rFonts w:ascii="Arial Narrow" w:hAnsi="Arial Narrow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5401F6CC" w14:textId="7FF0C918" w:rsidR="008E6675" w:rsidRDefault="003651A7" w:rsidP="005638EB">
            <w:pPr>
              <w:rPr>
                <w:rFonts w:ascii="Arial Narrow" w:hAnsi="Arial Narrow"/>
                <w:sz w:val="22"/>
              </w:rPr>
            </w:pPr>
            <w:r w:rsidRPr="003651A7">
              <w:rPr>
                <w:rFonts w:ascii="Arial Narrow" w:hAnsi="Arial Narrow"/>
                <w:sz w:val="22"/>
              </w:rPr>
              <w:t>H61</w:t>
            </w:r>
            <w:r w:rsidR="00CE019E">
              <w:rPr>
                <w:rFonts w:ascii="Arial Narrow" w:hAnsi="Arial Narrow"/>
                <w:sz w:val="22"/>
              </w:rPr>
              <w:t>A</w:t>
            </w:r>
          </w:p>
          <w:p w14:paraId="5496C197" w14:textId="41EB326F" w:rsidR="00CE019E" w:rsidRDefault="00CE019E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H61C</w:t>
            </w:r>
          </w:p>
          <w:p w14:paraId="59B05A05" w14:textId="2247A6A6" w:rsidR="005D105A" w:rsidRDefault="005D105A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K64</w:t>
            </w:r>
            <w:r w:rsidR="009C1A25">
              <w:rPr>
                <w:rFonts w:ascii="Arial Narrow" w:hAnsi="Arial Narrow"/>
                <w:sz w:val="22"/>
              </w:rPr>
              <w:t>C</w:t>
            </w:r>
          </w:p>
          <w:p w14:paraId="3FDE8751" w14:textId="30840FB5" w:rsidR="005D105A" w:rsidRPr="00A100DC" w:rsidRDefault="005D105A" w:rsidP="005638EB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R62</w:t>
            </w:r>
            <w:r w:rsidR="00B66C08">
              <w:rPr>
                <w:rFonts w:ascii="Arial Narrow" w:hAnsi="Arial Narrow"/>
                <w:sz w:val="22"/>
              </w:rPr>
              <w:t>C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72F43723" w14:textId="277AA2FD" w:rsidR="003429A1" w:rsidRDefault="00FD2C41" w:rsidP="00FD2C41">
            <w:pPr>
              <w:rPr>
                <w:rFonts w:ascii="Arial Narrow" w:hAnsi="Arial Narrow"/>
                <w:sz w:val="22"/>
              </w:rPr>
            </w:pPr>
            <w:proofErr w:type="spellStart"/>
            <w:r w:rsidRPr="00FD2C41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FD2C41">
              <w:rPr>
                <w:rFonts w:ascii="Arial Narrow" w:hAnsi="Arial Narrow"/>
                <w:sz w:val="22"/>
              </w:rPr>
              <w:t xml:space="preserve"> </w:t>
            </w:r>
            <w:r w:rsidR="0078452F">
              <w:rPr>
                <w:rFonts w:ascii="Arial Narrow" w:hAnsi="Arial Narrow"/>
                <w:sz w:val="22"/>
              </w:rPr>
              <w:t xml:space="preserve">wurde </w:t>
            </w:r>
            <w:r w:rsidR="00941739">
              <w:rPr>
                <w:rFonts w:ascii="Arial Narrow" w:hAnsi="Arial Narrow"/>
                <w:sz w:val="22"/>
              </w:rPr>
              <w:t xml:space="preserve">2018 zugelassen und </w:t>
            </w:r>
            <w:r w:rsidR="003429A1">
              <w:rPr>
                <w:rFonts w:ascii="Arial Narrow" w:hAnsi="Arial Narrow"/>
                <w:sz w:val="22"/>
              </w:rPr>
              <w:t xml:space="preserve">ist seit </w:t>
            </w:r>
            <w:r w:rsidR="00941739">
              <w:rPr>
                <w:rFonts w:ascii="Arial Narrow" w:hAnsi="Arial Narrow"/>
                <w:sz w:val="22"/>
              </w:rPr>
              <w:t xml:space="preserve">dem Jahr </w:t>
            </w:r>
            <w:r w:rsidR="003429A1">
              <w:rPr>
                <w:rFonts w:ascii="Arial Narrow" w:hAnsi="Arial Narrow"/>
                <w:sz w:val="22"/>
              </w:rPr>
              <w:t xml:space="preserve">2018 </w:t>
            </w:r>
            <w:r w:rsidR="00941739">
              <w:rPr>
                <w:rFonts w:ascii="Arial Narrow" w:hAnsi="Arial Narrow"/>
                <w:sz w:val="22"/>
              </w:rPr>
              <w:t>in Deutschland auf dem Markt.</w:t>
            </w:r>
            <w:r w:rsidR="003429A1">
              <w:rPr>
                <w:rFonts w:ascii="Arial Narrow" w:hAnsi="Arial Narrow"/>
                <w:sz w:val="22"/>
              </w:rPr>
              <w:t xml:space="preserve"> </w:t>
            </w:r>
          </w:p>
          <w:p w14:paraId="495BEC31" w14:textId="481B2A3B" w:rsidR="009C51DA" w:rsidRDefault="00FD2C41" w:rsidP="00FD2C41">
            <w:pPr>
              <w:rPr>
                <w:rFonts w:ascii="Arial Narrow" w:hAnsi="Arial Narrow"/>
                <w:sz w:val="22"/>
              </w:rPr>
            </w:pPr>
            <w:r w:rsidRPr="00FD2C41">
              <w:rPr>
                <w:rFonts w:ascii="Arial Narrow" w:hAnsi="Arial Narrow"/>
                <w:sz w:val="22"/>
              </w:rPr>
              <w:t>Für das Datenjahr 202</w:t>
            </w:r>
            <w:r w:rsidR="002C3823">
              <w:rPr>
                <w:rFonts w:ascii="Arial Narrow" w:hAnsi="Arial Narrow"/>
                <w:sz w:val="22"/>
              </w:rPr>
              <w:t>3</w:t>
            </w:r>
            <w:r w:rsidRPr="00FD2C41">
              <w:rPr>
                <w:rFonts w:ascii="Arial Narrow" w:hAnsi="Arial Narrow"/>
                <w:sz w:val="22"/>
              </w:rPr>
              <w:t xml:space="preserve"> sollten aus den Kalkulationshäusern Kostendaten für den Einsatz von </w:t>
            </w:r>
            <w:proofErr w:type="spellStart"/>
            <w:r w:rsidRPr="00FD2C41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FD2C41">
              <w:rPr>
                <w:rFonts w:ascii="Arial Narrow" w:hAnsi="Arial Narrow"/>
                <w:sz w:val="22"/>
              </w:rPr>
              <w:t xml:space="preserve"> vorliegen.</w:t>
            </w:r>
          </w:p>
          <w:p w14:paraId="5DB00771" w14:textId="77078F03" w:rsidR="00FD2C41" w:rsidRPr="00FD2C41" w:rsidRDefault="00FD2C41" w:rsidP="00FD2C41">
            <w:pPr>
              <w:rPr>
                <w:rFonts w:ascii="Arial Narrow" w:hAnsi="Arial Narrow"/>
                <w:sz w:val="22"/>
              </w:rPr>
            </w:pPr>
            <w:r w:rsidRPr="00FD2C41">
              <w:rPr>
                <w:rFonts w:ascii="Arial Narrow" w:hAnsi="Arial Narrow"/>
                <w:sz w:val="22"/>
              </w:rPr>
              <w:t>Wir vermuten, dass die Stichprobe jedoch zu klein war, als dass genügend Kosten- und Leistungsinformationen aus den Krankenhäusern vorliegen, um damit eine sachgerechte Abbildung im G-DRG System 202</w:t>
            </w:r>
            <w:r w:rsidR="00921CAE">
              <w:rPr>
                <w:rFonts w:ascii="Arial Narrow" w:hAnsi="Arial Narrow"/>
                <w:sz w:val="22"/>
              </w:rPr>
              <w:t>5</w:t>
            </w:r>
            <w:r w:rsidRPr="00FD2C41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1E05A405" w14:textId="54C90AB4" w:rsidR="00FD2C41" w:rsidRPr="00FD2C41" w:rsidRDefault="00FD2C41" w:rsidP="00FD2C41">
            <w:pPr>
              <w:rPr>
                <w:rFonts w:ascii="Arial Narrow" w:hAnsi="Arial Narrow"/>
                <w:sz w:val="22"/>
              </w:rPr>
            </w:pPr>
            <w:r w:rsidRPr="00FD2C41">
              <w:rPr>
                <w:rFonts w:ascii="Arial Narrow" w:hAnsi="Arial Narrow"/>
                <w:sz w:val="22"/>
              </w:rPr>
              <w:t xml:space="preserve">Die zusätzlichen Kosten </w:t>
            </w:r>
            <w:r w:rsidRPr="004F11A8">
              <w:rPr>
                <w:rFonts w:ascii="Arial Narrow" w:hAnsi="Arial Narrow"/>
                <w:sz w:val="22"/>
              </w:rPr>
              <w:t xml:space="preserve">von ca. </w:t>
            </w:r>
            <w:r w:rsidR="008F23FB" w:rsidRPr="004F11A8">
              <w:rPr>
                <w:rFonts w:ascii="Arial Narrow" w:hAnsi="Arial Narrow"/>
                <w:sz w:val="22"/>
              </w:rPr>
              <w:t xml:space="preserve">4.089 </w:t>
            </w:r>
            <w:r w:rsidRPr="004F11A8">
              <w:rPr>
                <w:rFonts w:ascii="Arial Narrow" w:hAnsi="Arial Narrow"/>
                <w:sz w:val="22"/>
              </w:rPr>
              <w:t xml:space="preserve">€ </w:t>
            </w:r>
            <w:r w:rsidR="00867E76" w:rsidRPr="004F11A8">
              <w:rPr>
                <w:rFonts w:ascii="Arial Narrow" w:hAnsi="Arial Narrow"/>
                <w:sz w:val="22"/>
              </w:rPr>
              <w:t xml:space="preserve">pro stationären Aufenthalt bzw. bis zu ca. </w:t>
            </w:r>
            <w:r w:rsidR="004A6465" w:rsidRPr="004F11A8">
              <w:rPr>
                <w:rFonts w:ascii="Arial Narrow" w:hAnsi="Arial Narrow"/>
                <w:sz w:val="22"/>
              </w:rPr>
              <w:t>1635</w:t>
            </w:r>
            <w:r w:rsidR="00867E76" w:rsidRPr="004F11A8">
              <w:rPr>
                <w:rFonts w:ascii="Arial Narrow" w:hAnsi="Arial Narrow"/>
                <w:sz w:val="22"/>
              </w:rPr>
              <w:t>€ pro Applikation</w:t>
            </w:r>
            <w:r w:rsidRPr="00FD2C41">
              <w:rPr>
                <w:rFonts w:ascii="Arial Narrow" w:hAnsi="Arial Narrow"/>
                <w:sz w:val="22"/>
              </w:rPr>
              <w:t xml:space="preserve"> können aber mit den o.g. Fallpauschalen allein nicht ausreichend abgebildet werden und </w:t>
            </w:r>
            <w:proofErr w:type="spellStart"/>
            <w:r w:rsidRPr="00FD2C41"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Pr="00FD2C41">
              <w:rPr>
                <w:rFonts w:ascii="Arial Narrow" w:hAnsi="Arial Narrow"/>
                <w:sz w:val="22"/>
              </w:rPr>
              <w:t xml:space="preserve"> ist bisher im ZE</w:t>
            </w:r>
            <w:r w:rsidR="00867E76">
              <w:rPr>
                <w:rFonts w:ascii="Arial Narrow" w:hAnsi="Arial Narrow"/>
                <w:sz w:val="22"/>
              </w:rPr>
              <w:t>-</w:t>
            </w:r>
            <w:r w:rsidRPr="00FD2C41">
              <w:rPr>
                <w:rFonts w:ascii="Arial Narrow" w:hAnsi="Arial Narrow"/>
                <w:sz w:val="22"/>
              </w:rPr>
              <w:t xml:space="preserve"> Katalog nicht enthalten. </w:t>
            </w:r>
          </w:p>
          <w:p w14:paraId="3C63FB50" w14:textId="59721753" w:rsidR="00FD2C41" w:rsidRPr="00FD2C41" w:rsidRDefault="00FD2C41" w:rsidP="00FD2C41">
            <w:pPr>
              <w:rPr>
                <w:rFonts w:ascii="Arial Narrow" w:hAnsi="Arial Narrow"/>
                <w:sz w:val="22"/>
              </w:rPr>
            </w:pPr>
            <w:r w:rsidRPr="00FD2C41">
              <w:rPr>
                <w:rFonts w:ascii="Arial Narrow" w:hAnsi="Arial Narrow"/>
                <w:sz w:val="22"/>
              </w:rPr>
              <w:t>Aufgrund der hohen Kosten des Medikaments kommt es zu einer Unterfinanzierung in der betroffenen DRG.</w:t>
            </w:r>
          </w:p>
          <w:p w14:paraId="481C990F" w14:textId="77777777" w:rsidR="0014226C" w:rsidRDefault="0014226C" w:rsidP="0004094A">
            <w:pPr>
              <w:rPr>
                <w:rFonts w:ascii="Arial Narrow" w:hAnsi="Arial Narrow"/>
                <w:sz w:val="22"/>
              </w:rPr>
            </w:pPr>
          </w:p>
          <w:p w14:paraId="222643B9" w14:textId="1C948642" w:rsidR="0014226C" w:rsidRPr="00ED4386" w:rsidRDefault="002404ED" w:rsidP="0004094A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Streptozocin</w:t>
            </w:r>
            <w:proofErr w:type="spellEnd"/>
            <w:r w:rsidR="001774E7" w:rsidRPr="00ED4386">
              <w:rPr>
                <w:rFonts w:ascii="Arial Narrow" w:hAnsi="Arial Narrow"/>
                <w:sz w:val="22"/>
              </w:rPr>
              <w:t xml:space="preserve"> hatte bereits für 202</w:t>
            </w:r>
            <w:r w:rsidR="00867E76">
              <w:rPr>
                <w:rFonts w:ascii="Arial Narrow" w:hAnsi="Arial Narrow"/>
                <w:sz w:val="22"/>
              </w:rPr>
              <w:t>4</w:t>
            </w:r>
            <w:r w:rsidR="001774E7" w:rsidRPr="00ED4386">
              <w:rPr>
                <w:rFonts w:ascii="Arial Narrow" w:hAnsi="Arial Narrow"/>
                <w:sz w:val="22"/>
              </w:rPr>
              <w:t xml:space="preserve"> den </w:t>
            </w:r>
            <w:r w:rsidR="00867E76">
              <w:rPr>
                <w:rFonts w:ascii="Arial Narrow" w:hAnsi="Arial Narrow"/>
                <w:sz w:val="22"/>
              </w:rPr>
              <w:t>NUB-</w:t>
            </w:r>
            <w:r w:rsidR="001774E7" w:rsidRPr="00ED4386">
              <w:rPr>
                <w:rFonts w:ascii="Arial Narrow" w:hAnsi="Arial Narrow"/>
                <w:sz w:val="22"/>
              </w:rPr>
              <w:t>Status 1.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906E" w14:textId="77777777" w:rsidR="00E10C6C" w:rsidRDefault="00E10C6C">
      <w:r>
        <w:separator/>
      </w:r>
    </w:p>
  </w:endnote>
  <w:endnote w:type="continuationSeparator" w:id="0">
    <w:p w14:paraId="61D94839" w14:textId="77777777" w:rsidR="00E10C6C" w:rsidRDefault="00E10C6C">
      <w:r>
        <w:continuationSeparator/>
      </w:r>
    </w:p>
  </w:endnote>
  <w:endnote w:type="continuationNotice" w:id="1">
    <w:p w14:paraId="1491E7C2" w14:textId="77777777" w:rsidR="00E10C6C" w:rsidRDefault="00E10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66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5715AF" w14:textId="77777777" w:rsidR="00E46DCF" w:rsidRPr="00435583" w:rsidRDefault="00E46DCF" w:rsidP="00E46DCF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r w:rsidRPr="00435583">
              <w:rPr>
                <w:rFonts w:ascii="Arial Narrow" w:hAnsi="Arial Narrow"/>
                <w:sz w:val="20"/>
                <w:szCs w:val="20"/>
              </w:rPr>
              <w:t xml:space="preserve">NUB-Musteranfrage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Streptozocin</w:t>
            </w:r>
            <w:proofErr w:type="spellEnd"/>
          </w:p>
          <w:p w14:paraId="3DE78E93" w14:textId="77777777" w:rsidR="00E46DCF" w:rsidRPr="00435583" w:rsidRDefault="00E46DCF" w:rsidP="00E46DCF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hyperlink r:id="rId1" w:history="1">
              <w:r w:rsidRPr="00435583">
                <w:rPr>
                  <w:rStyle w:val="Hyperlink"/>
                  <w:rFonts w:ascii="Arial Narrow" w:hAnsi="Arial Narrow"/>
                  <w:sz w:val="20"/>
                  <w:szCs w:val="20"/>
                </w:rPr>
                <w:t>Arbeitskreis DRG und Gesundheitsökonomie der Deutschen Gesellschaft für Hämatologie und medizinische Onkologie e.V.</w:t>
              </w:r>
            </w:hyperlink>
          </w:p>
          <w:p w14:paraId="7755797C" w14:textId="77777777" w:rsidR="00E46DCF" w:rsidRDefault="00E46DCF" w:rsidP="00E46DCF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hyperlink r:id="rId2" w:history="1">
              <w:r w:rsidRPr="00974242">
                <w:rPr>
                  <w:rStyle w:val="Hyperlink"/>
                  <w:rFonts w:ascii="Arial Narrow" w:hAnsi="Arial Narrow"/>
                  <w:sz w:val="20"/>
                  <w:szCs w:val="20"/>
                </w:rPr>
                <w:t>www.dgho.de</w:t>
              </w:r>
            </w:hyperlink>
          </w:p>
          <w:p w14:paraId="3A017BA5" w14:textId="25D65FF8" w:rsidR="00EF7EE2" w:rsidRPr="00F81B05" w:rsidRDefault="00EF7EE2" w:rsidP="00E46DCF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r w:rsidRPr="00E46DCF">
              <w:rPr>
                <w:rFonts w:ascii="Arial Narrow" w:hAnsi="Arial Narrow"/>
                <w:sz w:val="20"/>
                <w:szCs w:val="20"/>
              </w:rPr>
              <w:t xml:space="preserve">Seite </w: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46DCF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46DCF">
              <w:rPr>
                <w:rFonts w:ascii="Arial Narrow" w:hAnsi="Arial Narrow"/>
                <w:sz w:val="20"/>
                <w:szCs w:val="20"/>
              </w:rPr>
              <w:t xml:space="preserve"> von </w: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46DCF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E46DC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78EFEC78" w14:textId="15A0A879" w:rsidR="00E46DCF" w:rsidRPr="00EF7EE2" w:rsidRDefault="00E46DCF" w:rsidP="00EF7EE2">
            <w:pPr>
              <w:rPr>
                <w:sz w:val="20"/>
                <w:szCs w:val="20"/>
              </w:rPr>
            </w:pPr>
            <w:bookmarkStart w:id="0" w:name="_Hlk139466795"/>
            <w:bookmarkStart w:id="1" w:name="_Hlk139466796"/>
            <w:r w:rsidRPr="00AD4C31">
              <w:rPr>
                <w:rFonts w:ascii="Arial Narrow" w:hAnsi="Arial Narrow"/>
                <w:sz w:val="20"/>
                <w:szCs w:val="20"/>
              </w:rPr>
              <w:t>DGHO NUB Anfrage 2</w:t>
            </w:r>
            <w:r w:rsidR="00430217" w:rsidRPr="00AD4C31">
              <w:rPr>
                <w:rFonts w:ascii="Arial Narrow" w:hAnsi="Arial Narrow"/>
                <w:sz w:val="20"/>
                <w:szCs w:val="20"/>
              </w:rPr>
              <w:t>5</w:t>
            </w:r>
            <w:r w:rsidR="00D6165D" w:rsidRPr="00AD4C31">
              <w:rPr>
                <w:rFonts w:ascii="Arial Narrow" w:hAnsi="Arial Narrow"/>
                <w:sz w:val="20"/>
                <w:szCs w:val="20"/>
              </w:rPr>
              <w:t>-</w:t>
            </w:r>
            <w:r w:rsidR="00A85AE8" w:rsidRPr="00AD4C31">
              <w:rPr>
                <w:rFonts w:ascii="Arial Narrow" w:hAnsi="Arial Narrow"/>
                <w:sz w:val="20"/>
                <w:szCs w:val="20"/>
              </w:rPr>
              <w:t>115</w:t>
            </w:r>
            <w:r w:rsidRPr="00AD4C31">
              <w:rPr>
                <w:rFonts w:ascii="Arial Narrow" w:hAnsi="Arial Narrow"/>
                <w:sz w:val="20"/>
                <w:szCs w:val="20"/>
              </w:rPr>
              <w:t xml:space="preserve"> Streptozocin_Stand_202</w:t>
            </w:r>
            <w:r w:rsidR="00430217" w:rsidRPr="00AD4C31">
              <w:rPr>
                <w:rFonts w:ascii="Arial Narrow" w:hAnsi="Arial Narrow"/>
                <w:sz w:val="20"/>
                <w:szCs w:val="20"/>
              </w:rPr>
              <w:t>4</w:t>
            </w:r>
            <w:r w:rsidRPr="00AD4C31">
              <w:rPr>
                <w:rFonts w:ascii="Arial Narrow" w:hAnsi="Arial Narrow"/>
                <w:sz w:val="20"/>
                <w:szCs w:val="20"/>
              </w:rPr>
              <w:t>-</w:t>
            </w:r>
            <w:r w:rsidR="00AD4C31" w:rsidRPr="00AD4C31">
              <w:rPr>
                <w:rFonts w:ascii="Arial Narrow" w:hAnsi="Arial Narrow"/>
                <w:sz w:val="20"/>
                <w:szCs w:val="20"/>
              </w:rPr>
              <w:t>10-08</w:t>
            </w:r>
            <w:r w:rsidRPr="00AD4C31">
              <w:rPr>
                <w:rFonts w:ascii="Arial Narrow" w:hAnsi="Arial Narrow"/>
                <w:sz w:val="20"/>
                <w:szCs w:val="20"/>
              </w:rPr>
              <w:t>_</w:t>
            </w:r>
            <w:r w:rsidR="00AD4C31" w:rsidRPr="00AD4C31">
              <w:rPr>
                <w:rFonts w:ascii="Arial Narrow" w:hAnsi="Arial Narrow"/>
                <w:sz w:val="20"/>
                <w:szCs w:val="20"/>
              </w:rPr>
              <w:t xml:space="preserve">final </w:t>
            </w:r>
            <w:r w:rsidRPr="00AD4C31">
              <w:rPr>
                <w:rFonts w:ascii="Arial Narrow" w:hAnsi="Arial Narrow"/>
                <w:sz w:val="20"/>
                <w:szCs w:val="20"/>
              </w:rPr>
              <w:t>Version</w:t>
            </w:r>
            <w:bookmarkEnd w:id="0"/>
            <w:bookmarkEnd w:id="1"/>
            <w:r w:rsidR="00AD4C31" w:rsidRPr="00AD4C31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sdtContent>
      </w:sdt>
    </w:sdtContent>
  </w:sdt>
  <w:p w14:paraId="6E7C81DA" w14:textId="738964E0" w:rsidR="00F64982" w:rsidRPr="00435583" w:rsidRDefault="00F64982" w:rsidP="0043558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6826" w14:textId="77777777" w:rsidR="00E10C6C" w:rsidRDefault="00E10C6C">
      <w:r>
        <w:separator/>
      </w:r>
    </w:p>
  </w:footnote>
  <w:footnote w:type="continuationSeparator" w:id="0">
    <w:p w14:paraId="225A08A8" w14:textId="77777777" w:rsidR="00E10C6C" w:rsidRDefault="00E10C6C">
      <w:r>
        <w:continuationSeparator/>
      </w:r>
    </w:p>
  </w:footnote>
  <w:footnote w:type="continuationNotice" w:id="1">
    <w:p w14:paraId="03D9E571" w14:textId="77777777" w:rsidR="00E10C6C" w:rsidRDefault="00E10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3BCAB413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44648E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44648E">
      <w:rPr>
        <w:sz w:val="48"/>
      </w:rPr>
      <w:t>5</w:t>
    </w:r>
    <w:r w:rsidRPr="004C4F82">
      <w:rPr>
        <w:sz w:val="48"/>
      </w:rPr>
      <w:t xml:space="preserve"> </w:t>
    </w:r>
  </w:p>
  <w:p w14:paraId="2D6FE634" w14:textId="3186BD46" w:rsidR="00F64982" w:rsidRPr="004C4F82" w:rsidRDefault="00B06C8D" w:rsidP="00596F9A">
    <w:pPr>
      <w:pStyle w:val="Titel"/>
      <w:rPr>
        <w:sz w:val="48"/>
      </w:rPr>
    </w:pPr>
    <w:proofErr w:type="spellStart"/>
    <w:r>
      <w:rPr>
        <w:sz w:val="48"/>
      </w:rPr>
      <w:t>Streptozocin</w:t>
    </w:r>
    <w:proofErr w:type="spellEnd"/>
    <w:r w:rsidR="00F64982" w:rsidRPr="004C4F82">
      <w:rPr>
        <w:sz w:val="48"/>
      </w:rPr>
      <w:t xml:space="preserve"> 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0975">
    <w:abstractNumId w:val="0"/>
  </w:num>
  <w:num w:numId="2" w16cid:durableId="351106257">
    <w:abstractNumId w:val="9"/>
  </w:num>
  <w:num w:numId="3" w16cid:durableId="840975463">
    <w:abstractNumId w:val="5"/>
  </w:num>
  <w:num w:numId="4" w16cid:durableId="1712076426">
    <w:abstractNumId w:val="3"/>
  </w:num>
  <w:num w:numId="5" w16cid:durableId="76177983">
    <w:abstractNumId w:val="8"/>
  </w:num>
  <w:num w:numId="6" w16cid:durableId="1309432369">
    <w:abstractNumId w:val="2"/>
  </w:num>
  <w:num w:numId="7" w16cid:durableId="1918592876">
    <w:abstractNumId w:val="7"/>
  </w:num>
  <w:num w:numId="8" w16cid:durableId="283655042">
    <w:abstractNumId w:val="4"/>
  </w:num>
  <w:num w:numId="9" w16cid:durableId="1073891302">
    <w:abstractNumId w:val="1"/>
  </w:num>
  <w:num w:numId="10" w16cid:durableId="510605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MzAxNDaxMDMxMDFS0lEKTi0uzszPAykwqgUAXpZjzC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4094A"/>
    <w:rsid w:val="00044597"/>
    <w:rsid w:val="0005226C"/>
    <w:rsid w:val="000627A4"/>
    <w:rsid w:val="00065A38"/>
    <w:rsid w:val="00072A33"/>
    <w:rsid w:val="000953D2"/>
    <w:rsid w:val="000C704A"/>
    <w:rsid w:val="000F6CF4"/>
    <w:rsid w:val="00104C97"/>
    <w:rsid w:val="0011427E"/>
    <w:rsid w:val="001403FC"/>
    <w:rsid w:val="0014226C"/>
    <w:rsid w:val="00156A1D"/>
    <w:rsid w:val="00156FE0"/>
    <w:rsid w:val="0017092F"/>
    <w:rsid w:val="00174C6A"/>
    <w:rsid w:val="00176E3D"/>
    <w:rsid w:val="001774E7"/>
    <w:rsid w:val="00193F85"/>
    <w:rsid w:val="0019524E"/>
    <w:rsid w:val="001A7AC7"/>
    <w:rsid w:val="001B2F1B"/>
    <w:rsid w:val="001C66D7"/>
    <w:rsid w:val="001E10F9"/>
    <w:rsid w:val="001F4753"/>
    <w:rsid w:val="002005AF"/>
    <w:rsid w:val="002179C2"/>
    <w:rsid w:val="0022449C"/>
    <w:rsid w:val="00225D8A"/>
    <w:rsid w:val="002333FF"/>
    <w:rsid w:val="00234FB1"/>
    <w:rsid w:val="002404ED"/>
    <w:rsid w:val="00256B7C"/>
    <w:rsid w:val="00275A06"/>
    <w:rsid w:val="0028432D"/>
    <w:rsid w:val="00284CE4"/>
    <w:rsid w:val="00285AE4"/>
    <w:rsid w:val="00294FE8"/>
    <w:rsid w:val="002B4EF1"/>
    <w:rsid w:val="002C3823"/>
    <w:rsid w:val="002D57D5"/>
    <w:rsid w:val="002D7403"/>
    <w:rsid w:val="002E34D2"/>
    <w:rsid w:val="002E5E26"/>
    <w:rsid w:val="00305016"/>
    <w:rsid w:val="003168C2"/>
    <w:rsid w:val="003429A1"/>
    <w:rsid w:val="003479E5"/>
    <w:rsid w:val="00351E6A"/>
    <w:rsid w:val="0036178C"/>
    <w:rsid w:val="0036325A"/>
    <w:rsid w:val="003651A7"/>
    <w:rsid w:val="00393E40"/>
    <w:rsid w:val="003B2E05"/>
    <w:rsid w:val="003B56E9"/>
    <w:rsid w:val="003C1A78"/>
    <w:rsid w:val="003D4703"/>
    <w:rsid w:val="003E2D54"/>
    <w:rsid w:val="003E460B"/>
    <w:rsid w:val="003F2692"/>
    <w:rsid w:val="0040610F"/>
    <w:rsid w:val="0041156E"/>
    <w:rsid w:val="00430217"/>
    <w:rsid w:val="00431542"/>
    <w:rsid w:val="00435583"/>
    <w:rsid w:val="00442A3B"/>
    <w:rsid w:val="0044648E"/>
    <w:rsid w:val="00454847"/>
    <w:rsid w:val="004642E2"/>
    <w:rsid w:val="00467246"/>
    <w:rsid w:val="00474B5A"/>
    <w:rsid w:val="00486BF4"/>
    <w:rsid w:val="00492AB4"/>
    <w:rsid w:val="00494C0F"/>
    <w:rsid w:val="004A6465"/>
    <w:rsid w:val="004B29EC"/>
    <w:rsid w:val="004B3438"/>
    <w:rsid w:val="004B624B"/>
    <w:rsid w:val="004B6C59"/>
    <w:rsid w:val="004C4F82"/>
    <w:rsid w:val="004D6E2A"/>
    <w:rsid w:val="004E1D02"/>
    <w:rsid w:val="004F11A8"/>
    <w:rsid w:val="00504FB4"/>
    <w:rsid w:val="0050526A"/>
    <w:rsid w:val="005125E9"/>
    <w:rsid w:val="00525535"/>
    <w:rsid w:val="005257DB"/>
    <w:rsid w:val="005330D5"/>
    <w:rsid w:val="00541B64"/>
    <w:rsid w:val="005524BC"/>
    <w:rsid w:val="005530A6"/>
    <w:rsid w:val="005638EB"/>
    <w:rsid w:val="0057537C"/>
    <w:rsid w:val="005920E8"/>
    <w:rsid w:val="00596F9A"/>
    <w:rsid w:val="005B1820"/>
    <w:rsid w:val="005D105A"/>
    <w:rsid w:val="005E4D85"/>
    <w:rsid w:val="005F29C6"/>
    <w:rsid w:val="005F4D2E"/>
    <w:rsid w:val="00603F39"/>
    <w:rsid w:val="00605C46"/>
    <w:rsid w:val="00612463"/>
    <w:rsid w:val="00633E7D"/>
    <w:rsid w:val="006354B6"/>
    <w:rsid w:val="006451B6"/>
    <w:rsid w:val="00651A74"/>
    <w:rsid w:val="006549F4"/>
    <w:rsid w:val="00662852"/>
    <w:rsid w:val="00664E69"/>
    <w:rsid w:val="00681EC4"/>
    <w:rsid w:val="006945E3"/>
    <w:rsid w:val="006C656D"/>
    <w:rsid w:val="006F7F69"/>
    <w:rsid w:val="00700D65"/>
    <w:rsid w:val="00702FE0"/>
    <w:rsid w:val="0070356B"/>
    <w:rsid w:val="00712F39"/>
    <w:rsid w:val="007322C4"/>
    <w:rsid w:val="0075670B"/>
    <w:rsid w:val="007600D1"/>
    <w:rsid w:val="0077165E"/>
    <w:rsid w:val="0078272D"/>
    <w:rsid w:val="0078275F"/>
    <w:rsid w:val="0078452F"/>
    <w:rsid w:val="0079534A"/>
    <w:rsid w:val="007A1BEE"/>
    <w:rsid w:val="007A314E"/>
    <w:rsid w:val="007A3902"/>
    <w:rsid w:val="007A6F09"/>
    <w:rsid w:val="007C5393"/>
    <w:rsid w:val="007F0381"/>
    <w:rsid w:val="007F255B"/>
    <w:rsid w:val="00802EF7"/>
    <w:rsid w:val="0080511D"/>
    <w:rsid w:val="00807564"/>
    <w:rsid w:val="00816924"/>
    <w:rsid w:val="00820810"/>
    <w:rsid w:val="00843117"/>
    <w:rsid w:val="00843507"/>
    <w:rsid w:val="00850D44"/>
    <w:rsid w:val="00867E76"/>
    <w:rsid w:val="00886A68"/>
    <w:rsid w:val="00887E26"/>
    <w:rsid w:val="00890BC2"/>
    <w:rsid w:val="00891F14"/>
    <w:rsid w:val="00895583"/>
    <w:rsid w:val="008B38C2"/>
    <w:rsid w:val="008B4504"/>
    <w:rsid w:val="008B7669"/>
    <w:rsid w:val="008C1686"/>
    <w:rsid w:val="008D12DD"/>
    <w:rsid w:val="008D7748"/>
    <w:rsid w:val="008E00BD"/>
    <w:rsid w:val="008E6675"/>
    <w:rsid w:val="008F23FB"/>
    <w:rsid w:val="008F43EE"/>
    <w:rsid w:val="00900E00"/>
    <w:rsid w:val="00912947"/>
    <w:rsid w:val="009136C3"/>
    <w:rsid w:val="00921CAE"/>
    <w:rsid w:val="009231AD"/>
    <w:rsid w:val="00925542"/>
    <w:rsid w:val="0093583C"/>
    <w:rsid w:val="00941739"/>
    <w:rsid w:val="009545AF"/>
    <w:rsid w:val="00960D66"/>
    <w:rsid w:val="00983554"/>
    <w:rsid w:val="00987123"/>
    <w:rsid w:val="009B1C7E"/>
    <w:rsid w:val="009C0B84"/>
    <w:rsid w:val="009C144E"/>
    <w:rsid w:val="009C1A25"/>
    <w:rsid w:val="009C51DA"/>
    <w:rsid w:val="009D3CB6"/>
    <w:rsid w:val="009F117C"/>
    <w:rsid w:val="009F1EB7"/>
    <w:rsid w:val="00A00CCB"/>
    <w:rsid w:val="00A100DC"/>
    <w:rsid w:val="00A2016B"/>
    <w:rsid w:val="00A21E9E"/>
    <w:rsid w:val="00A345A9"/>
    <w:rsid w:val="00A43812"/>
    <w:rsid w:val="00A530BE"/>
    <w:rsid w:val="00A743BE"/>
    <w:rsid w:val="00A822A8"/>
    <w:rsid w:val="00A85AE8"/>
    <w:rsid w:val="00A93AAD"/>
    <w:rsid w:val="00AA68F5"/>
    <w:rsid w:val="00AA6B4F"/>
    <w:rsid w:val="00AB10BF"/>
    <w:rsid w:val="00AB33E0"/>
    <w:rsid w:val="00AB4324"/>
    <w:rsid w:val="00AD221D"/>
    <w:rsid w:val="00AD4C31"/>
    <w:rsid w:val="00AE35DC"/>
    <w:rsid w:val="00AE4C49"/>
    <w:rsid w:val="00AE4EAE"/>
    <w:rsid w:val="00AE5BE6"/>
    <w:rsid w:val="00B03A61"/>
    <w:rsid w:val="00B06C8D"/>
    <w:rsid w:val="00B11478"/>
    <w:rsid w:val="00B261DA"/>
    <w:rsid w:val="00B3557E"/>
    <w:rsid w:val="00B574E9"/>
    <w:rsid w:val="00B6570D"/>
    <w:rsid w:val="00B66C08"/>
    <w:rsid w:val="00B7689E"/>
    <w:rsid w:val="00B773B8"/>
    <w:rsid w:val="00BA6044"/>
    <w:rsid w:val="00BB0C32"/>
    <w:rsid w:val="00BB4A54"/>
    <w:rsid w:val="00BC3D19"/>
    <w:rsid w:val="00BC4042"/>
    <w:rsid w:val="00BC6BCD"/>
    <w:rsid w:val="00BE3979"/>
    <w:rsid w:val="00BE7C6B"/>
    <w:rsid w:val="00BF11AE"/>
    <w:rsid w:val="00BF4656"/>
    <w:rsid w:val="00C112A6"/>
    <w:rsid w:val="00C11458"/>
    <w:rsid w:val="00C21654"/>
    <w:rsid w:val="00C35BFE"/>
    <w:rsid w:val="00C5750A"/>
    <w:rsid w:val="00C57C1D"/>
    <w:rsid w:val="00C676EE"/>
    <w:rsid w:val="00C76650"/>
    <w:rsid w:val="00C76F03"/>
    <w:rsid w:val="00C82466"/>
    <w:rsid w:val="00C93168"/>
    <w:rsid w:val="00C956B8"/>
    <w:rsid w:val="00CA6E94"/>
    <w:rsid w:val="00CB3CA3"/>
    <w:rsid w:val="00CB7E53"/>
    <w:rsid w:val="00CC7E5F"/>
    <w:rsid w:val="00CD2365"/>
    <w:rsid w:val="00CD60A6"/>
    <w:rsid w:val="00CE019E"/>
    <w:rsid w:val="00CE69F3"/>
    <w:rsid w:val="00CF56C3"/>
    <w:rsid w:val="00CF5ECC"/>
    <w:rsid w:val="00D044BF"/>
    <w:rsid w:val="00D10F40"/>
    <w:rsid w:val="00D14350"/>
    <w:rsid w:val="00D216BD"/>
    <w:rsid w:val="00D21A79"/>
    <w:rsid w:val="00D41422"/>
    <w:rsid w:val="00D416C7"/>
    <w:rsid w:val="00D6165D"/>
    <w:rsid w:val="00D63381"/>
    <w:rsid w:val="00D66044"/>
    <w:rsid w:val="00D66749"/>
    <w:rsid w:val="00D7246C"/>
    <w:rsid w:val="00D861CA"/>
    <w:rsid w:val="00D87B96"/>
    <w:rsid w:val="00D9586E"/>
    <w:rsid w:val="00D96F0C"/>
    <w:rsid w:val="00DB14F4"/>
    <w:rsid w:val="00DB4789"/>
    <w:rsid w:val="00DC6CBD"/>
    <w:rsid w:val="00DC7A5D"/>
    <w:rsid w:val="00DE0DAA"/>
    <w:rsid w:val="00DE190A"/>
    <w:rsid w:val="00DF01F8"/>
    <w:rsid w:val="00E10C6C"/>
    <w:rsid w:val="00E119A7"/>
    <w:rsid w:val="00E15C85"/>
    <w:rsid w:val="00E24E3B"/>
    <w:rsid w:val="00E31DED"/>
    <w:rsid w:val="00E46DCF"/>
    <w:rsid w:val="00E53437"/>
    <w:rsid w:val="00E53F75"/>
    <w:rsid w:val="00E56907"/>
    <w:rsid w:val="00E71E55"/>
    <w:rsid w:val="00E80BC3"/>
    <w:rsid w:val="00E83D2A"/>
    <w:rsid w:val="00E86725"/>
    <w:rsid w:val="00E905DC"/>
    <w:rsid w:val="00E9243F"/>
    <w:rsid w:val="00E92C57"/>
    <w:rsid w:val="00E958F2"/>
    <w:rsid w:val="00E975C5"/>
    <w:rsid w:val="00EC0987"/>
    <w:rsid w:val="00ED4386"/>
    <w:rsid w:val="00ED79AA"/>
    <w:rsid w:val="00EE0D0B"/>
    <w:rsid w:val="00EE1581"/>
    <w:rsid w:val="00EE523E"/>
    <w:rsid w:val="00EE5875"/>
    <w:rsid w:val="00EF7EE2"/>
    <w:rsid w:val="00F000AA"/>
    <w:rsid w:val="00F233AA"/>
    <w:rsid w:val="00F363A2"/>
    <w:rsid w:val="00F64982"/>
    <w:rsid w:val="00F658E7"/>
    <w:rsid w:val="00F7283F"/>
    <w:rsid w:val="00F81B05"/>
    <w:rsid w:val="00F8755B"/>
    <w:rsid w:val="00F91167"/>
    <w:rsid w:val="00F915A9"/>
    <w:rsid w:val="00FA6FC5"/>
    <w:rsid w:val="00FB2874"/>
    <w:rsid w:val="00FB46A5"/>
    <w:rsid w:val="00FD2C41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250F488B-2428-4C03-A71B-5A68E84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81B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6E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6E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6E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E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3445F378974498701A994CE2B1D2B" ma:contentTypeVersion="4" ma:contentTypeDescription="Ein neues Dokument erstellen." ma:contentTypeScope="" ma:versionID="63d4677b92b9d10e37839fce886d9b8a">
  <xsd:schema xmlns:xsd="http://www.w3.org/2001/XMLSchema" xmlns:xs="http://www.w3.org/2001/XMLSchema" xmlns:p="http://schemas.microsoft.com/office/2006/metadata/properties" xmlns:ns2="a470ce82-151b-423b-9429-b42b1caa867a" targetNamespace="http://schemas.microsoft.com/office/2006/metadata/properties" ma:root="true" ma:fieldsID="64c200c12a6f60402374dd6da477d490" ns2:_="">
    <xsd:import namespace="a470ce82-151b-423b-9429-b42b1caa8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0ce82-151b-423b-9429-b42b1caa8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3A499-9B66-4723-95E5-118492E70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04D8EA-E07E-4DCE-9FF4-2306C6FD1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0ce82-151b-423b-9429-b42b1caa8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7031</Characters>
  <Application>Microsoft Office Word</Application>
  <DocSecurity>0</DocSecurity>
  <Lines>163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2</cp:revision>
  <cp:lastPrinted>2012-10-10T09:17:00Z</cp:lastPrinted>
  <dcterms:created xsi:type="dcterms:W3CDTF">2024-10-08T13:49:00Z</dcterms:created>
  <dcterms:modified xsi:type="dcterms:W3CDTF">2024-10-08T13:49:00Z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0x010100EA33445F378974498701A994CE2B1D2B</vt:lpwstr>
  </property>
  <property fmtid="{D5CDD505-2E9C-101B-9397-08002B2CF9AE}" pid="3" name="GrammarlyDocumentId">
    <vt:lpwstr>52cd15ca653c78f5010383e1685e46b8e89d226bfdb796ef06446e50f0b4c29d</vt:lpwstr>
  </property>
  <property fmtid="{D5CDD505-2E9C-101B-9397-08002B2CF9AE}" pid="4" name="Order">
    <vt:r8>129900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